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E7E9A" w14:textId="0507AD1F" w:rsidR="00F318E9" w:rsidRDefault="006F2ED2" w:rsidP="00B27C84">
      <w:pPr>
        <w:ind w:left="2880"/>
        <w:rPr>
          <w:rFonts w:ascii="Trebuchet MS" w:eastAsia="Trebuchet MS" w:hAnsi="Trebuchet MS" w:cs="Trebuchet MS"/>
          <w:b/>
          <w:color w:val="CC0000"/>
          <w:sz w:val="28"/>
          <w:szCs w:val="28"/>
        </w:rPr>
      </w:pPr>
      <w:r w:rsidRPr="006F2ED2">
        <w:rPr>
          <w:noProof/>
          <w:lang w:val="en-US"/>
        </w:rPr>
        <w:drawing>
          <wp:inline distT="0" distB="0" distL="0" distR="0" wp14:anchorId="71686970" wp14:editId="73440D9F">
            <wp:extent cx="1701887" cy="615982"/>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stretch>
                      <a:fillRect/>
                    </a:stretch>
                  </pic:blipFill>
                  <pic:spPr>
                    <a:xfrm>
                      <a:off x="0" y="0"/>
                      <a:ext cx="1701887" cy="615982"/>
                    </a:xfrm>
                    <a:prstGeom prst="rect">
                      <a:avLst/>
                    </a:prstGeom>
                  </pic:spPr>
                </pic:pic>
              </a:graphicData>
            </a:graphic>
          </wp:inline>
        </w:drawing>
      </w:r>
    </w:p>
    <w:p w14:paraId="22B8DEC0" w14:textId="77777777" w:rsidR="00F318E9" w:rsidRPr="006F2ED2" w:rsidRDefault="00F318E9" w:rsidP="00F318E9">
      <w:pPr>
        <w:pStyle w:val="Heading1"/>
        <w:rPr>
          <w:color w:val="1F497D" w:themeColor="text2"/>
        </w:rPr>
        <w:sectPr w:rsidR="00F318E9" w:rsidRPr="006F2ED2" w:rsidSect="00F318E9">
          <w:footerReference w:type="default" r:id="rId8"/>
          <w:headerReference w:type="first" r:id="rId9"/>
          <w:pgSz w:w="12240" w:h="15840"/>
          <w:pgMar w:top="360" w:right="1440" w:bottom="1080" w:left="1440" w:header="720" w:footer="720" w:gutter="0"/>
          <w:pgNumType w:start="1"/>
          <w:cols w:space="720"/>
          <w:titlePg/>
        </w:sectPr>
      </w:pPr>
      <w:r w:rsidRPr="006F2ED2">
        <w:rPr>
          <w:color w:val="1F497D" w:themeColor="text2"/>
        </w:rPr>
        <w:t>NEW RATES AND FAMILY COPAYMENTS FOR THE CHILD CARE SUBSIDY PROGRAM</w:t>
      </w:r>
    </w:p>
    <w:p w14:paraId="3BFE3081" w14:textId="7D797084" w:rsidR="00F318E9" w:rsidRDefault="00F318E9" w:rsidP="00F318E9">
      <w:pPr>
        <w:rPr>
          <w:rFonts w:ascii="Trebuchet MS" w:eastAsia="Trebuchet MS" w:hAnsi="Trebuchet MS" w:cs="Trebuchet MS"/>
          <w:b/>
          <w:color w:val="CC0000"/>
          <w:sz w:val="28"/>
          <w:szCs w:val="28"/>
        </w:rPr>
      </w:pPr>
    </w:p>
    <w:p w14:paraId="32AEA5C8" w14:textId="77777777" w:rsidR="00063435" w:rsidRDefault="00BB2993">
      <w:pPr>
        <w:widowControl w:val="0"/>
        <w:spacing w:after="240"/>
        <w:rPr>
          <w:rFonts w:ascii="Trebuchet MS" w:eastAsia="Trebuchet MS" w:hAnsi="Trebuchet MS" w:cs="Trebuchet MS"/>
        </w:rPr>
      </w:pPr>
      <w:r>
        <w:rPr>
          <w:rFonts w:ascii="Trebuchet MS" w:eastAsia="Trebuchet MS" w:hAnsi="Trebuchet MS" w:cs="Trebuchet MS"/>
        </w:rPr>
        <w:t>To improve school readiness and help the child care industry, Virginia lawmakers added budget language in 2022 to require two key changes to the Child Care Subsidy Program (CCSP). These changes will help child care programs meet quality expectations and better support their workforce while making child care more accessible and affordable for families:</w:t>
      </w:r>
    </w:p>
    <w:p w14:paraId="711AC2BE" w14:textId="77777777" w:rsidR="00063435" w:rsidRDefault="00BB2993">
      <w:pPr>
        <w:widowControl w:val="0"/>
        <w:numPr>
          <w:ilvl w:val="0"/>
          <w:numId w:val="4"/>
        </w:numPr>
        <w:spacing w:before="240"/>
        <w:rPr>
          <w:rFonts w:ascii="Trebuchet MS" w:eastAsia="Trebuchet MS" w:hAnsi="Trebuchet MS" w:cs="Trebuchet MS"/>
        </w:rPr>
      </w:pPr>
      <w:r>
        <w:rPr>
          <w:rFonts w:ascii="Trebuchet MS" w:eastAsia="Trebuchet MS" w:hAnsi="Trebuchet MS" w:cs="Trebuchet MS"/>
        </w:rPr>
        <w:t>CCSP providers will be paid based on the cost to meet quality expectations; and</w:t>
      </w:r>
    </w:p>
    <w:p w14:paraId="2AADF21A" w14:textId="77777777" w:rsidR="00063435" w:rsidRDefault="00BB2993">
      <w:pPr>
        <w:widowControl w:val="0"/>
        <w:numPr>
          <w:ilvl w:val="0"/>
          <w:numId w:val="4"/>
        </w:numPr>
        <w:spacing w:after="240"/>
        <w:rPr>
          <w:rFonts w:ascii="Trebuchet MS" w:eastAsia="Trebuchet MS" w:hAnsi="Trebuchet MS" w:cs="Trebuchet MS"/>
        </w:rPr>
      </w:pPr>
      <w:r>
        <w:rPr>
          <w:rFonts w:ascii="Trebuchet MS" w:eastAsia="Trebuchet MS" w:hAnsi="Trebuchet MS" w:cs="Trebuchet MS"/>
        </w:rPr>
        <w:t>Families will shift to low per-child monthly copayments.</w:t>
      </w:r>
    </w:p>
    <w:p w14:paraId="6E2DABAE" w14:textId="77777777" w:rsidR="00063435" w:rsidRPr="00F318E9" w:rsidRDefault="00BB2993" w:rsidP="00F318E9">
      <w:pPr>
        <w:pStyle w:val="Heading2"/>
      </w:pPr>
      <w:r w:rsidRPr="00F318E9">
        <w:t>New Maximum Reimbursement Rates (MRR) for CCSP Child Care Providers</w:t>
      </w:r>
    </w:p>
    <w:p w14:paraId="6920230D" w14:textId="77777777" w:rsidR="00063435" w:rsidRDefault="00BB2993">
      <w:pPr>
        <w:widowControl w:val="0"/>
        <w:spacing w:after="200"/>
        <w:rPr>
          <w:rFonts w:ascii="Trebuchet MS" w:eastAsia="Trebuchet MS" w:hAnsi="Trebuchet MS" w:cs="Trebuchet MS"/>
          <w:color w:val="0E101A"/>
        </w:rPr>
      </w:pPr>
      <w:r>
        <w:rPr>
          <w:rFonts w:ascii="Trebuchet MS" w:eastAsia="Trebuchet MS" w:hAnsi="Trebuchet MS" w:cs="Trebuchet MS"/>
        </w:rPr>
        <w:t>As of October 1, 2022, Virginia will use a cost estimation model to determine the “true cost” to deliver quality care and education and set the MRR in the CCSP. Virginia’s model w</w:t>
      </w:r>
      <w:r>
        <w:rPr>
          <w:rFonts w:ascii="Trebuchet MS" w:eastAsia="Trebuchet MS" w:hAnsi="Trebuchet MS" w:cs="Trebuchet MS"/>
          <w:color w:val="0E101A"/>
        </w:rPr>
        <w:t xml:space="preserve">as developed in partnership with national experts and reflects feedback from Virginia child care centers, family day homes and families. </w:t>
      </w:r>
      <w:hyperlink r:id="rId10">
        <w:r>
          <w:rPr>
            <w:rFonts w:ascii="Trebuchet MS" w:eastAsia="Trebuchet MS" w:hAnsi="Trebuchet MS" w:cs="Trebuchet MS"/>
            <w:color w:val="1155CC"/>
            <w:u w:val="single"/>
          </w:rPr>
          <w:t>Recording of June 2022 Public Engagement Session</w:t>
        </w:r>
      </w:hyperlink>
      <w:r>
        <w:rPr>
          <w:rFonts w:ascii="Trebuchet MS" w:eastAsia="Trebuchet MS" w:hAnsi="Trebuchet MS" w:cs="Trebuchet MS"/>
          <w:color w:val="0E101A"/>
        </w:rPr>
        <w:t>.</w:t>
      </w:r>
    </w:p>
    <w:p w14:paraId="10ED98D8" w14:textId="77777777" w:rsidR="00063435" w:rsidRPr="00F318E9" w:rsidRDefault="00BB2993" w:rsidP="00F318E9">
      <w:pPr>
        <w:pStyle w:val="Heading3"/>
      </w:pPr>
      <w:r w:rsidRPr="00F318E9">
        <w:t>Virginia’s model means that new MRR rates will:</w:t>
      </w:r>
    </w:p>
    <w:p w14:paraId="060D5842" w14:textId="77777777" w:rsidR="00063435" w:rsidRDefault="00BB2993">
      <w:pPr>
        <w:widowControl w:val="0"/>
        <w:numPr>
          <w:ilvl w:val="0"/>
          <w:numId w:val="2"/>
        </w:numPr>
        <w:rPr>
          <w:rFonts w:ascii="Trebuchet MS" w:eastAsia="Trebuchet MS" w:hAnsi="Trebuchet MS" w:cs="Trebuchet MS"/>
          <w:color w:val="0E101A"/>
        </w:rPr>
      </w:pPr>
      <w:r>
        <w:rPr>
          <w:rFonts w:ascii="Trebuchet MS" w:eastAsia="Trebuchet MS" w:hAnsi="Trebuchet MS" w:cs="Trebuchet MS"/>
          <w:color w:val="0E101A"/>
        </w:rPr>
        <w:t>Account for differences in size and setting;</w:t>
      </w:r>
    </w:p>
    <w:p w14:paraId="48FFA1E2" w14:textId="77777777" w:rsidR="00063435" w:rsidRDefault="00BB2993">
      <w:pPr>
        <w:widowControl w:val="0"/>
        <w:numPr>
          <w:ilvl w:val="0"/>
          <w:numId w:val="2"/>
        </w:numPr>
        <w:rPr>
          <w:rFonts w:ascii="Trebuchet MS" w:eastAsia="Trebuchet MS" w:hAnsi="Trebuchet MS" w:cs="Trebuchet MS"/>
          <w:color w:val="0E101A"/>
        </w:rPr>
      </w:pPr>
      <w:r>
        <w:rPr>
          <w:rFonts w:ascii="Trebuchet MS" w:eastAsia="Trebuchet MS" w:hAnsi="Trebuchet MS" w:cs="Trebuchet MS"/>
          <w:color w:val="0E101A"/>
        </w:rPr>
        <w:t xml:space="preserve">Account for geographic variations in wages and other operating costs; </w:t>
      </w:r>
    </w:p>
    <w:p w14:paraId="11F24700" w14:textId="77777777" w:rsidR="00063435" w:rsidRDefault="00BB2993">
      <w:pPr>
        <w:widowControl w:val="0"/>
        <w:numPr>
          <w:ilvl w:val="0"/>
          <w:numId w:val="2"/>
        </w:numPr>
        <w:rPr>
          <w:rFonts w:ascii="Trebuchet MS" w:eastAsia="Trebuchet MS" w:hAnsi="Trebuchet MS" w:cs="Trebuchet MS"/>
          <w:color w:val="0E101A"/>
        </w:rPr>
      </w:pPr>
      <w:r>
        <w:rPr>
          <w:rFonts w:ascii="Trebuchet MS" w:eastAsia="Trebuchet MS" w:hAnsi="Trebuchet MS" w:cs="Trebuchet MS"/>
        </w:rPr>
        <w:t>Account for the cost of meeting Virginia’s health and safety standards, including age-based group sizes and teacher-child ratios; and</w:t>
      </w:r>
    </w:p>
    <w:p w14:paraId="169A940F" w14:textId="77777777" w:rsidR="00063435" w:rsidRDefault="00BB2993">
      <w:pPr>
        <w:widowControl w:val="0"/>
        <w:numPr>
          <w:ilvl w:val="0"/>
          <w:numId w:val="2"/>
        </w:numPr>
        <w:spacing w:after="200"/>
        <w:rPr>
          <w:rFonts w:ascii="Trebuchet MS" w:eastAsia="Trebuchet MS" w:hAnsi="Trebuchet MS" w:cs="Trebuchet MS"/>
          <w:color w:val="0E101A"/>
        </w:rPr>
      </w:pPr>
      <w:r>
        <w:rPr>
          <w:rFonts w:ascii="Trebuchet MS" w:eastAsia="Trebuchet MS" w:hAnsi="Trebuchet MS" w:cs="Trebuchet MS"/>
          <w:color w:val="0E101A"/>
        </w:rPr>
        <w:t xml:space="preserve">Assume the need to offer competitive compensation and support for educators as part of meeting expectations in </w:t>
      </w:r>
      <w:hyperlink r:id="rId11">
        <w:r>
          <w:rPr>
            <w:rFonts w:ascii="Trebuchet MS" w:eastAsia="Trebuchet MS" w:hAnsi="Trebuchet MS" w:cs="Trebuchet MS"/>
            <w:color w:val="1155CC"/>
            <w:u w:val="single"/>
          </w:rPr>
          <w:t>VQB5</w:t>
        </w:r>
      </w:hyperlink>
      <w:r>
        <w:rPr>
          <w:rFonts w:ascii="Trebuchet MS" w:eastAsia="Trebuchet MS" w:hAnsi="Trebuchet MS" w:cs="Trebuchet MS"/>
          <w:color w:val="0E101A"/>
        </w:rPr>
        <w:t>.</w:t>
      </w:r>
    </w:p>
    <w:p w14:paraId="432EBABF" w14:textId="77777777" w:rsidR="00063435" w:rsidRDefault="00BB2993" w:rsidP="00F318E9">
      <w:pPr>
        <w:pStyle w:val="Heading3"/>
      </w:pPr>
      <w:r>
        <w:t xml:space="preserve">Key points for Center-Based Programs: </w:t>
      </w:r>
    </w:p>
    <w:p w14:paraId="72BF0D2C" w14:textId="77777777" w:rsidR="00063435" w:rsidRDefault="00BB2993">
      <w:pPr>
        <w:widowControl w:val="0"/>
        <w:numPr>
          <w:ilvl w:val="0"/>
          <w:numId w:val="3"/>
        </w:numPr>
        <w:rPr>
          <w:rFonts w:ascii="Trebuchet MS" w:eastAsia="Trebuchet MS" w:hAnsi="Trebuchet MS" w:cs="Trebuchet MS"/>
          <w:color w:val="0E101A"/>
        </w:rPr>
      </w:pPr>
      <w:r>
        <w:rPr>
          <w:rFonts w:ascii="Trebuchet MS" w:eastAsia="Trebuchet MS" w:hAnsi="Trebuchet MS" w:cs="Trebuchet MS"/>
          <w:color w:val="0E101A"/>
        </w:rPr>
        <w:t>The full-day MRR are set at 75% of estimated costs based on the Ready Region in which the center is located.</w:t>
      </w:r>
    </w:p>
    <w:p w14:paraId="26693E62" w14:textId="77777777" w:rsidR="00063435" w:rsidRDefault="00BB2993" w:rsidP="00F318E9">
      <w:pPr>
        <w:widowControl w:val="0"/>
        <w:numPr>
          <w:ilvl w:val="0"/>
          <w:numId w:val="3"/>
        </w:numPr>
        <w:spacing w:after="216"/>
        <w:rPr>
          <w:rFonts w:ascii="Arial" w:eastAsia="Arial" w:hAnsi="Arial" w:cs="Arial"/>
          <w:color w:val="0E101A"/>
        </w:rPr>
      </w:pPr>
      <w:r>
        <w:rPr>
          <w:rFonts w:ascii="Trebuchet MS" w:eastAsia="Trebuchet MS" w:hAnsi="Trebuchet MS" w:cs="Trebuchet MS"/>
          <w:color w:val="0E101A"/>
        </w:rPr>
        <w:t>Level 1 and Level 2 centers will now have the same rates because the health and safety requirements are similar.</w:t>
      </w:r>
    </w:p>
    <w:p w14:paraId="2E8AF092" w14:textId="77777777" w:rsidR="00063435" w:rsidRDefault="00BB2993" w:rsidP="00F318E9">
      <w:pPr>
        <w:pStyle w:val="Heading3"/>
      </w:pPr>
      <w:r>
        <w:t>Key points for Family Day Homes</w:t>
      </w:r>
    </w:p>
    <w:p w14:paraId="233BE902" w14:textId="77777777" w:rsidR="00063435" w:rsidRDefault="00BB2993">
      <w:pPr>
        <w:widowControl w:val="0"/>
        <w:numPr>
          <w:ilvl w:val="0"/>
          <w:numId w:val="3"/>
        </w:numPr>
        <w:rPr>
          <w:rFonts w:ascii="Trebuchet MS" w:eastAsia="Trebuchet MS" w:hAnsi="Trebuchet MS" w:cs="Trebuchet MS"/>
          <w:color w:val="0E101A"/>
        </w:rPr>
      </w:pPr>
      <w:r>
        <w:rPr>
          <w:rFonts w:ascii="Trebuchet MS" w:eastAsia="Trebuchet MS" w:hAnsi="Trebuchet MS" w:cs="Trebuchet MS"/>
          <w:color w:val="0E101A"/>
        </w:rPr>
        <w:t xml:space="preserve">The full-day MRR are set regionally at estimated costs for both Level 1 and Level 2 Family Day Homes. These MRR are different due to health and safety requirements. </w:t>
      </w:r>
    </w:p>
    <w:p w14:paraId="4C66AEA5" w14:textId="77777777" w:rsidR="00063435" w:rsidRDefault="00BB2993" w:rsidP="00F318E9">
      <w:pPr>
        <w:widowControl w:val="0"/>
        <w:numPr>
          <w:ilvl w:val="0"/>
          <w:numId w:val="3"/>
        </w:numPr>
        <w:spacing w:after="216"/>
        <w:rPr>
          <w:rFonts w:ascii="Trebuchet MS" w:eastAsia="Trebuchet MS" w:hAnsi="Trebuchet MS" w:cs="Trebuchet MS"/>
          <w:color w:val="0E101A"/>
        </w:rPr>
      </w:pPr>
      <w:r>
        <w:rPr>
          <w:rFonts w:ascii="Trebuchet MS" w:eastAsia="Trebuchet MS" w:hAnsi="Trebuchet MS" w:cs="Trebuchet MS"/>
          <w:color w:val="0E101A"/>
        </w:rPr>
        <w:t>Rates are set at graduated percentages of cost for each age group: 94% for infants, 82% for toddlers, 76% for preschool, and 70% for school age children. Modeled rates account for the cost of serving mixed age groups.</w:t>
      </w:r>
    </w:p>
    <w:p w14:paraId="1A46BD45" w14:textId="77777777" w:rsidR="00063435" w:rsidRDefault="00BB2993" w:rsidP="00F318E9">
      <w:pPr>
        <w:pStyle w:val="Heading3"/>
      </w:pPr>
      <w:r>
        <w:t xml:space="preserve">Key points for all programs: </w:t>
      </w:r>
    </w:p>
    <w:p w14:paraId="26D7C4ED" w14:textId="77777777" w:rsidR="00063435" w:rsidRDefault="00BB2993">
      <w:pPr>
        <w:widowControl w:val="0"/>
        <w:numPr>
          <w:ilvl w:val="0"/>
          <w:numId w:val="3"/>
        </w:numPr>
        <w:rPr>
          <w:rFonts w:ascii="Trebuchet MS" w:eastAsia="Trebuchet MS" w:hAnsi="Trebuchet MS" w:cs="Trebuchet MS"/>
          <w:color w:val="0E101A"/>
        </w:rPr>
      </w:pPr>
      <w:r>
        <w:rPr>
          <w:rFonts w:ascii="Trebuchet MS" w:eastAsia="Trebuchet MS" w:hAnsi="Trebuchet MS" w:cs="Trebuchet MS"/>
          <w:color w:val="0E101A"/>
        </w:rPr>
        <w:t>No site will experience a reduction in payment rates. Full-day and part-day locality rates either increase or are held harmless. If the model generated a rate that was lower than the 2018 MRR, that rate will be kept the same.</w:t>
      </w:r>
    </w:p>
    <w:p w14:paraId="3EAA8F2A" w14:textId="77777777" w:rsidR="00063435" w:rsidRDefault="00BB2993">
      <w:pPr>
        <w:widowControl w:val="0"/>
        <w:numPr>
          <w:ilvl w:val="0"/>
          <w:numId w:val="3"/>
        </w:numPr>
        <w:rPr>
          <w:rFonts w:ascii="Trebuchet MS" w:eastAsia="Trebuchet MS" w:hAnsi="Trebuchet MS" w:cs="Trebuchet MS"/>
          <w:color w:val="0E101A"/>
        </w:rPr>
      </w:pPr>
      <w:r>
        <w:rPr>
          <w:rFonts w:ascii="Trebuchet MS" w:eastAsia="Trebuchet MS" w:hAnsi="Trebuchet MS" w:cs="Trebuchet MS"/>
          <w:color w:val="0E101A"/>
        </w:rPr>
        <w:t xml:space="preserve">Part-day rates are prorated based on full-day rates. </w:t>
      </w:r>
    </w:p>
    <w:p w14:paraId="30431AA5" w14:textId="77777777" w:rsidR="00063435" w:rsidRDefault="00063435">
      <w:pPr>
        <w:widowControl w:val="0"/>
        <w:ind w:left="1440"/>
        <w:rPr>
          <w:rFonts w:ascii="Trebuchet MS" w:eastAsia="Trebuchet MS" w:hAnsi="Trebuchet MS" w:cs="Trebuchet MS"/>
          <w:color w:val="0E101A"/>
        </w:rPr>
      </w:pPr>
    </w:p>
    <w:p w14:paraId="1962045C" w14:textId="3A1854C6" w:rsidR="00063435" w:rsidRDefault="00BB2993">
      <w:pPr>
        <w:rPr>
          <w:rFonts w:ascii="Trebuchet MS" w:eastAsia="Trebuchet MS" w:hAnsi="Trebuchet MS" w:cs="Trebuchet MS"/>
          <w:color w:val="0F150D"/>
        </w:rPr>
      </w:pPr>
      <w:r>
        <w:rPr>
          <w:rFonts w:ascii="Trebuchet MS" w:eastAsia="Trebuchet MS" w:hAnsi="Trebuchet MS" w:cs="Trebuchet MS"/>
        </w:rPr>
        <w:lastRenderedPageBreak/>
        <w:t xml:space="preserve">The Department will </w:t>
      </w:r>
      <w:r>
        <w:rPr>
          <w:rFonts w:ascii="Trebuchet MS" w:eastAsia="Trebuchet MS" w:hAnsi="Trebuchet MS" w:cs="Trebuchet MS"/>
          <w:u w:val="single"/>
        </w:rPr>
        <w:t>not</w:t>
      </w:r>
      <w:r>
        <w:rPr>
          <w:rFonts w:ascii="Trebuchet MS" w:eastAsia="Trebuchet MS" w:hAnsi="Trebuchet MS" w:cs="Trebuchet MS"/>
        </w:rPr>
        <w:t xml:space="preserve"> pay more than the established MRR. However, if the MRR is higher than the rate a program charges the general public, the provider will be paid the MRR. If a vendor prefers to receive a lower rate than the MRR, please contact VDSS. Th</w:t>
      </w:r>
      <w:r>
        <w:rPr>
          <w:rFonts w:ascii="Trebuchet MS" w:eastAsia="Trebuchet MS" w:hAnsi="Trebuchet MS" w:cs="Trebuchet MS"/>
          <w:color w:val="0F150D"/>
        </w:rPr>
        <w:t xml:space="preserve">e proposed rates are available for review on </w:t>
      </w:r>
      <w:hyperlink r:id="rId12">
        <w:r>
          <w:rPr>
            <w:rFonts w:ascii="Trebuchet MS" w:eastAsia="Trebuchet MS" w:hAnsi="Trebuchet MS" w:cs="Trebuchet MS"/>
            <w:color w:val="1155CC"/>
            <w:u w:val="single"/>
          </w:rPr>
          <w:t>childcareva.com</w:t>
        </w:r>
      </w:hyperlink>
      <w:r>
        <w:rPr>
          <w:rFonts w:ascii="Trebuchet MS" w:eastAsia="Trebuchet MS" w:hAnsi="Trebuchet MS" w:cs="Trebuchet MS"/>
          <w:color w:val="0F150D"/>
        </w:rPr>
        <w:t xml:space="preserve"> or in the October 2022 </w:t>
      </w:r>
      <w:hyperlink r:id="rId13">
        <w:r>
          <w:rPr>
            <w:rFonts w:ascii="Trebuchet MS" w:eastAsia="Trebuchet MS" w:hAnsi="Trebuchet MS" w:cs="Trebuchet MS"/>
            <w:color w:val="1155CC"/>
            <w:u w:val="single"/>
          </w:rPr>
          <w:t>Child Care Subsidy Program Manual</w:t>
        </w:r>
      </w:hyperlink>
      <w:r>
        <w:rPr>
          <w:rFonts w:ascii="Trebuchet MS" w:eastAsia="Trebuchet MS" w:hAnsi="Trebuchet MS" w:cs="Trebuchet MS"/>
          <w:color w:val="0F150D"/>
        </w:rPr>
        <w:t>.</w:t>
      </w:r>
    </w:p>
    <w:p w14:paraId="604DFDC9" w14:textId="77777777" w:rsidR="00063435" w:rsidRDefault="00BB2993" w:rsidP="00F318E9">
      <w:pPr>
        <w:pStyle w:val="Heading2"/>
      </w:pPr>
      <w:r>
        <w:t>Revised Family Copayment Scale</w:t>
      </w:r>
    </w:p>
    <w:p w14:paraId="2B0DE2FC" w14:textId="77777777" w:rsidR="00063435" w:rsidRDefault="00BB2993">
      <w:pPr>
        <w:rPr>
          <w:rFonts w:ascii="Trebuchet MS" w:eastAsia="Trebuchet MS" w:hAnsi="Trebuchet MS" w:cs="Trebuchet MS"/>
          <w:color w:val="0E101A"/>
        </w:rPr>
      </w:pPr>
      <w:r>
        <w:rPr>
          <w:rFonts w:ascii="Trebuchet MS" w:eastAsia="Trebuchet MS" w:hAnsi="Trebuchet MS" w:cs="Trebuchet MS"/>
          <w:color w:val="0E101A"/>
        </w:rPr>
        <w:t xml:space="preserve">Federal law requires most families in the CCSP to pay a copayment to their child care provider. During the pandemic, the federal government provided flexibility and Virginia temporarily covered all copayments. This flexibility, however, will end on December 31, 2022 and Virginia must begin to charge copayments again. </w:t>
      </w:r>
    </w:p>
    <w:p w14:paraId="4EC9A4A7" w14:textId="77777777" w:rsidR="00063435" w:rsidRDefault="00063435">
      <w:pPr>
        <w:rPr>
          <w:rFonts w:ascii="Trebuchet MS" w:eastAsia="Trebuchet MS" w:hAnsi="Trebuchet MS" w:cs="Trebuchet MS"/>
          <w:color w:val="0E101A"/>
        </w:rPr>
      </w:pPr>
    </w:p>
    <w:p w14:paraId="28BE82F8" w14:textId="77777777" w:rsidR="00063435" w:rsidRDefault="00BB2993">
      <w:pPr>
        <w:rPr>
          <w:rFonts w:ascii="Trebuchet MS" w:eastAsia="Trebuchet MS" w:hAnsi="Trebuchet MS" w:cs="Trebuchet MS"/>
          <w:color w:val="0E101A"/>
        </w:rPr>
      </w:pPr>
      <w:r>
        <w:rPr>
          <w:rFonts w:ascii="Trebuchet MS" w:eastAsia="Trebuchet MS" w:hAnsi="Trebuchet MS" w:cs="Trebuchet MS"/>
          <w:color w:val="0E101A"/>
        </w:rPr>
        <w:t xml:space="preserve">Prior to the COVID-19 pandemic, a family of four could owe more than $8,000 in copayments annually, which was unaffordable and unsustainable. In response to budget language passed by the General Assembly in 2022 and feedback from families and child care providers, the VDOE will adopt a new simple copayment scale on January 1, 2023. This will reduce copayment burdens for families and more closely mirror other publicly-funded programs. </w:t>
      </w:r>
    </w:p>
    <w:p w14:paraId="2FB337F1" w14:textId="77777777" w:rsidR="00063435" w:rsidRDefault="00063435">
      <w:pPr>
        <w:rPr>
          <w:rFonts w:ascii="Trebuchet MS" w:eastAsia="Trebuchet MS" w:hAnsi="Trebuchet MS" w:cs="Trebuchet MS"/>
          <w:color w:val="0E101A"/>
        </w:rPr>
      </w:pPr>
    </w:p>
    <w:p w14:paraId="0975D5D9" w14:textId="77777777" w:rsidR="00063435" w:rsidRDefault="00BB2993" w:rsidP="00F318E9">
      <w:pPr>
        <w:pStyle w:val="Heading3"/>
      </w:pPr>
      <w:r>
        <w:t>As of January 1, 2023:</w:t>
      </w:r>
    </w:p>
    <w:p w14:paraId="08998947" w14:textId="77777777" w:rsidR="00063435" w:rsidRDefault="00BB2993">
      <w:pPr>
        <w:numPr>
          <w:ilvl w:val="0"/>
          <w:numId w:val="1"/>
        </w:numPr>
        <w:rPr>
          <w:rFonts w:ascii="Trebuchet MS" w:eastAsia="Trebuchet MS" w:hAnsi="Trebuchet MS" w:cs="Trebuchet MS"/>
          <w:color w:val="0E101A"/>
        </w:rPr>
      </w:pPr>
      <w:r>
        <w:rPr>
          <w:rFonts w:ascii="Trebuchet MS" w:eastAsia="Trebuchet MS" w:hAnsi="Trebuchet MS" w:cs="Trebuchet MS"/>
          <w:color w:val="0E101A"/>
        </w:rPr>
        <w:t>Copayments will be eliminated for families with incomes at or below 100% of the Federal Poverty Guideline (FPG).</w:t>
      </w:r>
    </w:p>
    <w:p w14:paraId="0534190D" w14:textId="77777777" w:rsidR="00063435" w:rsidRDefault="00BB2993">
      <w:pPr>
        <w:numPr>
          <w:ilvl w:val="0"/>
          <w:numId w:val="1"/>
        </w:numPr>
        <w:rPr>
          <w:rFonts w:ascii="Trebuchet MS" w:eastAsia="Trebuchet MS" w:hAnsi="Trebuchet MS" w:cs="Trebuchet MS"/>
          <w:color w:val="0E101A"/>
        </w:rPr>
      </w:pPr>
      <w:r>
        <w:rPr>
          <w:rFonts w:ascii="Trebuchet MS" w:eastAsia="Trebuchet MS" w:hAnsi="Trebuchet MS" w:cs="Trebuchet MS"/>
          <w:color w:val="0E101A"/>
        </w:rPr>
        <w:t>Families with household incomes over 100% FPG will have a copayment. However, copayments will be low monthly fees based on household income and the number of children receiving assistance (up to three children).</w:t>
      </w:r>
    </w:p>
    <w:p w14:paraId="3AB1BA4D" w14:textId="77777777" w:rsidR="00063435" w:rsidRDefault="00BB2993">
      <w:pPr>
        <w:numPr>
          <w:ilvl w:val="0"/>
          <w:numId w:val="1"/>
        </w:numPr>
        <w:rPr>
          <w:rFonts w:ascii="Trebuchet MS" w:eastAsia="Trebuchet MS" w:hAnsi="Trebuchet MS" w:cs="Trebuchet MS"/>
          <w:color w:val="0E101A"/>
        </w:rPr>
      </w:pPr>
      <w:r>
        <w:rPr>
          <w:rFonts w:ascii="Trebuchet MS" w:eastAsia="Trebuchet MS" w:hAnsi="Trebuchet MS" w:cs="Trebuchet MS"/>
          <w:color w:val="0E101A"/>
        </w:rPr>
        <w:t>Maximum total fees for monthly family copayments will not exceed 7 percent of family income.</w:t>
      </w:r>
    </w:p>
    <w:p w14:paraId="4F44E6C0" w14:textId="77777777" w:rsidR="00063435" w:rsidRDefault="00063435">
      <w:pPr>
        <w:rPr>
          <w:rFonts w:ascii="Trebuchet MS" w:eastAsia="Trebuchet MS" w:hAnsi="Trebuchet MS" w:cs="Trebuchet MS"/>
          <w:color w:val="0E101A"/>
        </w:rPr>
      </w:pPr>
    </w:p>
    <w:p w14:paraId="2155383B" w14:textId="77777777" w:rsidR="00063435" w:rsidRDefault="00BB2993">
      <w:pPr>
        <w:spacing w:after="200"/>
        <w:rPr>
          <w:rFonts w:ascii="Trebuchet MS" w:eastAsia="Trebuchet MS" w:hAnsi="Trebuchet MS" w:cs="Trebuchet MS"/>
          <w:b/>
          <w:color w:val="0E101A"/>
        </w:rPr>
      </w:pPr>
      <w:r>
        <w:rPr>
          <w:rFonts w:ascii="Trebuchet MS" w:eastAsia="Trebuchet MS" w:hAnsi="Trebuchet MS" w:cs="Trebuchet MS"/>
          <w:color w:val="0E101A"/>
        </w:rPr>
        <w:t xml:space="preserve">Here is the new copayment scale, which takes effect on January 1, 2023. </w:t>
      </w:r>
    </w:p>
    <w:tbl>
      <w:tblPr>
        <w:tblStyle w:val="a"/>
        <w:tblW w:w="6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260"/>
        <w:gridCol w:w="3260"/>
      </w:tblGrid>
      <w:tr w:rsidR="00063435" w14:paraId="043E9459" w14:textId="77777777" w:rsidTr="002068F0">
        <w:trPr>
          <w:tblHeader/>
          <w:jc w:val="center"/>
        </w:trPr>
        <w:tc>
          <w:tcPr>
            <w:tcW w:w="3260" w:type="dxa"/>
            <w:shd w:val="clear" w:color="auto" w:fill="1F497D" w:themeFill="text2"/>
            <w:tcMar>
              <w:top w:w="100" w:type="dxa"/>
              <w:left w:w="100" w:type="dxa"/>
              <w:bottom w:w="100" w:type="dxa"/>
              <w:right w:w="100" w:type="dxa"/>
            </w:tcMar>
          </w:tcPr>
          <w:p w14:paraId="5D5AF929" w14:textId="77777777" w:rsidR="00063435" w:rsidRDefault="00BB2993">
            <w:pPr>
              <w:widowControl w:val="0"/>
              <w:spacing w:line="240" w:lineRule="auto"/>
              <w:jc w:val="center"/>
              <w:rPr>
                <w:rFonts w:ascii="Trebuchet MS" w:eastAsia="Trebuchet MS" w:hAnsi="Trebuchet MS" w:cs="Trebuchet MS"/>
                <w:b/>
                <w:i/>
                <w:color w:val="FFFFFF"/>
              </w:rPr>
            </w:pPr>
            <w:r>
              <w:rPr>
                <w:rFonts w:ascii="Trebuchet MS" w:eastAsia="Trebuchet MS" w:hAnsi="Trebuchet MS" w:cs="Trebuchet MS"/>
                <w:b/>
                <w:i/>
                <w:color w:val="FFFFFF"/>
              </w:rPr>
              <w:t xml:space="preserve">Income Threshold </w:t>
            </w:r>
          </w:p>
        </w:tc>
        <w:tc>
          <w:tcPr>
            <w:tcW w:w="3260" w:type="dxa"/>
            <w:shd w:val="clear" w:color="auto" w:fill="1F497D" w:themeFill="text2"/>
            <w:tcMar>
              <w:top w:w="100" w:type="dxa"/>
              <w:left w:w="100" w:type="dxa"/>
              <w:bottom w:w="100" w:type="dxa"/>
              <w:right w:w="100" w:type="dxa"/>
            </w:tcMar>
          </w:tcPr>
          <w:p w14:paraId="06158FE9" w14:textId="77777777" w:rsidR="00063435" w:rsidRDefault="00BB2993">
            <w:pPr>
              <w:widowControl w:val="0"/>
              <w:spacing w:line="240" w:lineRule="auto"/>
              <w:jc w:val="center"/>
              <w:rPr>
                <w:rFonts w:ascii="Trebuchet MS" w:eastAsia="Trebuchet MS" w:hAnsi="Trebuchet MS" w:cs="Trebuchet MS"/>
                <w:b/>
                <w:i/>
                <w:color w:val="FFFFFF"/>
              </w:rPr>
            </w:pPr>
            <w:r>
              <w:rPr>
                <w:rFonts w:ascii="Trebuchet MS" w:eastAsia="Trebuchet MS" w:hAnsi="Trebuchet MS" w:cs="Trebuchet MS"/>
                <w:b/>
                <w:i/>
                <w:color w:val="FFFFFF"/>
              </w:rPr>
              <w:t>Monthly Fee per Child</w:t>
            </w:r>
          </w:p>
        </w:tc>
      </w:tr>
      <w:tr w:rsidR="00063435" w14:paraId="6B24C1EC" w14:textId="77777777" w:rsidTr="00F318E9">
        <w:trPr>
          <w:jc w:val="center"/>
        </w:trPr>
        <w:tc>
          <w:tcPr>
            <w:tcW w:w="3260" w:type="dxa"/>
            <w:shd w:val="clear" w:color="auto" w:fill="auto"/>
            <w:tcMar>
              <w:top w:w="100" w:type="dxa"/>
              <w:left w:w="100" w:type="dxa"/>
              <w:bottom w:w="100" w:type="dxa"/>
              <w:right w:w="100" w:type="dxa"/>
            </w:tcMar>
          </w:tcPr>
          <w:p w14:paraId="6FCDBE5F" w14:textId="77777777" w:rsidR="00063435" w:rsidRDefault="00BB2993">
            <w:pPr>
              <w:widowControl w:val="0"/>
              <w:spacing w:line="240" w:lineRule="auto"/>
              <w:jc w:val="center"/>
              <w:rPr>
                <w:rFonts w:ascii="Trebuchet MS" w:eastAsia="Trebuchet MS" w:hAnsi="Trebuchet MS" w:cs="Trebuchet MS"/>
                <w:color w:val="0E101A"/>
              </w:rPr>
            </w:pPr>
            <w:r>
              <w:rPr>
                <w:rFonts w:ascii="Trebuchet MS" w:eastAsia="Trebuchet MS" w:hAnsi="Trebuchet MS" w:cs="Trebuchet MS"/>
                <w:color w:val="0E101A"/>
              </w:rPr>
              <w:t>0-100% FPG</w:t>
            </w:r>
          </w:p>
        </w:tc>
        <w:tc>
          <w:tcPr>
            <w:tcW w:w="3260" w:type="dxa"/>
            <w:shd w:val="clear" w:color="auto" w:fill="auto"/>
            <w:tcMar>
              <w:top w:w="100" w:type="dxa"/>
              <w:left w:w="100" w:type="dxa"/>
              <w:bottom w:w="100" w:type="dxa"/>
              <w:right w:w="100" w:type="dxa"/>
            </w:tcMar>
          </w:tcPr>
          <w:p w14:paraId="430D2A83" w14:textId="77777777" w:rsidR="00063435" w:rsidRDefault="00BB2993">
            <w:pPr>
              <w:widowControl w:val="0"/>
              <w:spacing w:line="240" w:lineRule="auto"/>
              <w:jc w:val="center"/>
              <w:rPr>
                <w:rFonts w:ascii="Trebuchet MS" w:eastAsia="Trebuchet MS" w:hAnsi="Trebuchet MS" w:cs="Trebuchet MS"/>
                <w:color w:val="0E101A"/>
              </w:rPr>
            </w:pPr>
            <w:r>
              <w:rPr>
                <w:rFonts w:ascii="Trebuchet MS" w:eastAsia="Trebuchet MS" w:hAnsi="Trebuchet MS" w:cs="Trebuchet MS"/>
                <w:color w:val="0E101A"/>
              </w:rPr>
              <w:t>$0</w:t>
            </w:r>
          </w:p>
        </w:tc>
      </w:tr>
      <w:tr w:rsidR="00063435" w14:paraId="31756ABB" w14:textId="77777777" w:rsidTr="00F318E9">
        <w:trPr>
          <w:jc w:val="center"/>
        </w:trPr>
        <w:tc>
          <w:tcPr>
            <w:tcW w:w="3260" w:type="dxa"/>
            <w:shd w:val="clear" w:color="auto" w:fill="auto"/>
            <w:tcMar>
              <w:top w:w="100" w:type="dxa"/>
              <w:left w:w="100" w:type="dxa"/>
              <w:bottom w:w="100" w:type="dxa"/>
              <w:right w:w="100" w:type="dxa"/>
            </w:tcMar>
          </w:tcPr>
          <w:p w14:paraId="7C306EDF" w14:textId="77777777" w:rsidR="00063435" w:rsidRDefault="00BB2993">
            <w:pPr>
              <w:widowControl w:val="0"/>
              <w:spacing w:line="240" w:lineRule="auto"/>
              <w:jc w:val="center"/>
              <w:rPr>
                <w:rFonts w:ascii="Trebuchet MS" w:eastAsia="Trebuchet MS" w:hAnsi="Trebuchet MS" w:cs="Trebuchet MS"/>
                <w:color w:val="0E101A"/>
              </w:rPr>
            </w:pPr>
            <w:r>
              <w:rPr>
                <w:rFonts w:ascii="Trebuchet MS" w:eastAsia="Trebuchet MS" w:hAnsi="Trebuchet MS" w:cs="Trebuchet MS"/>
                <w:color w:val="0E101A"/>
              </w:rPr>
              <w:t>101-200% FPG</w:t>
            </w:r>
          </w:p>
        </w:tc>
        <w:tc>
          <w:tcPr>
            <w:tcW w:w="3260" w:type="dxa"/>
            <w:shd w:val="clear" w:color="auto" w:fill="auto"/>
            <w:tcMar>
              <w:top w:w="100" w:type="dxa"/>
              <w:left w:w="100" w:type="dxa"/>
              <w:bottom w:w="100" w:type="dxa"/>
              <w:right w:w="100" w:type="dxa"/>
            </w:tcMar>
          </w:tcPr>
          <w:p w14:paraId="691A4FD4" w14:textId="77777777" w:rsidR="00063435" w:rsidRDefault="00BB2993">
            <w:pPr>
              <w:widowControl w:val="0"/>
              <w:spacing w:line="240" w:lineRule="auto"/>
              <w:jc w:val="center"/>
              <w:rPr>
                <w:rFonts w:ascii="Trebuchet MS" w:eastAsia="Trebuchet MS" w:hAnsi="Trebuchet MS" w:cs="Trebuchet MS"/>
                <w:color w:val="0E101A"/>
              </w:rPr>
            </w:pPr>
            <w:r>
              <w:rPr>
                <w:rFonts w:ascii="Trebuchet MS" w:eastAsia="Trebuchet MS" w:hAnsi="Trebuchet MS" w:cs="Trebuchet MS"/>
                <w:color w:val="0E101A"/>
              </w:rPr>
              <w:t>$60</w:t>
            </w:r>
          </w:p>
        </w:tc>
      </w:tr>
      <w:tr w:rsidR="00063435" w14:paraId="77E3F032" w14:textId="77777777" w:rsidTr="00F318E9">
        <w:trPr>
          <w:jc w:val="center"/>
        </w:trPr>
        <w:tc>
          <w:tcPr>
            <w:tcW w:w="3260" w:type="dxa"/>
            <w:shd w:val="clear" w:color="auto" w:fill="auto"/>
            <w:tcMar>
              <w:top w:w="100" w:type="dxa"/>
              <w:left w:w="100" w:type="dxa"/>
              <w:bottom w:w="100" w:type="dxa"/>
              <w:right w:w="100" w:type="dxa"/>
            </w:tcMar>
          </w:tcPr>
          <w:p w14:paraId="008C654C" w14:textId="77777777" w:rsidR="00063435" w:rsidRDefault="00BB2993">
            <w:pPr>
              <w:widowControl w:val="0"/>
              <w:spacing w:line="240" w:lineRule="auto"/>
              <w:jc w:val="center"/>
              <w:rPr>
                <w:rFonts w:ascii="Trebuchet MS" w:eastAsia="Trebuchet MS" w:hAnsi="Trebuchet MS" w:cs="Trebuchet MS"/>
                <w:color w:val="0E101A"/>
              </w:rPr>
            </w:pPr>
            <w:r>
              <w:rPr>
                <w:rFonts w:ascii="Trebuchet MS" w:eastAsia="Trebuchet MS" w:hAnsi="Trebuchet MS" w:cs="Trebuchet MS"/>
                <w:color w:val="0E101A"/>
              </w:rPr>
              <w:t>201-300% FPG</w:t>
            </w:r>
          </w:p>
        </w:tc>
        <w:tc>
          <w:tcPr>
            <w:tcW w:w="3260" w:type="dxa"/>
            <w:shd w:val="clear" w:color="auto" w:fill="auto"/>
            <w:tcMar>
              <w:top w:w="100" w:type="dxa"/>
              <w:left w:w="100" w:type="dxa"/>
              <w:bottom w:w="100" w:type="dxa"/>
              <w:right w:w="100" w:type="dxa"/>
            </w:tcMar>
          </w:tcPr>
          <w:p w14:paraId="2516D486" w14:textId="77777777" w:rsidR="00063435" w:rsidRDefault="00BB2993">
            <w:pPr>
              <w:widowControl w:val="0"/>
              <w:spacing w:line="240" w:lineRule="auto"/>
              <w:jc w:val="center"/>
              <w:rPr>
                <w:rFonts w:ascii="Trebuchet MS" w:eastAsia="Trebuchet MS" w:hAnsi="Trebuchet MS" w:cs="Trebuchet MS"/>
                <w:color w:val="0E101A"/>
              </w:rPr>
            </w:pPr>
            <w:r>
              <w:rPr>
                <w:rFonts w:ascii="Trebuchet MS" w:eastAsia="Trebuchet MS" w:hAnsi="Trebuchet MS" w:cs="Trebuchet MS"/>
                <w:color w:val="0E101A"/>
              </w:rPr>
              <w:t>$120</w:t>
            </w:r>
          </w:p>
        </w:tc>
      </w:tr>
      <w:tr w:rsidR="00063435" w14:paraId="1BB6F803" w14:textId="77777777" w:rsidTr="00F318E9">
        <w:trPr>
          <w:jc w:val="center"/>
        </w:trPr>
        <w:tc>
          <w:tcPr>
            <w:tcW w:w="3260" w:type="dxa"/>
            <w:shd w:val="clear" w:color="auto" w:fill="auto"/>
            <w:tcMar>
              <w:top w:w="100" w:type="dxa"/>
              <w:left w:w="100" w:type="dxa"/>
              <w:bottom w:w="100" w:type="dxa"/>
              <w:right w:w="100" w:type="dxa"/>
            </w:tcMar>
          </w:tcPr>
          <w:p w14:paraId="7E82997F" w14:textId="77777777" w:rsidR="00063435" w:rsidRDefault="00BB2993">
            <w:pPr>
              <w:widowControl w:val="0"/>
              <w:spacing w:line="240" w:lineRule="auto"/>
              <w:jc w:val="center"/>
              <w:rPr>
                <w:rFonts w:ascii="Trebuchet MS" w:eastAsia="Trebuchet MS" w:hAnsi="Trebuchet MS" w:cs="Trebuchet MS"/>
                <w:color w:val="0E101A"/>
              </w:rPr>
            </w:pPr>
            <w:r>
              <w:rPr>
                <w:rFonts w:ascii="Trebuchet MS" w:eastAsia="Trebuchet MS" w:hAnsi="Trebuchet MS" w:cs="Trebuchet MS"/>
                <w:color w:val="0E101A"/>
              </w:rPr>
              <w:t>301% FPG- 85% SMI</w:t>
            </w:r>
          </w:p>
        </w:tc>
        <w:tc>
          <w:tcPr>
            <w:tcW w:w="3260" w:type="dxa"/>
            <w:shd w:val="clear" w:color="auto" w:fill="auto"/>
            <w:tcMar>
              <w:top w:w="100" w:type="dxa"/>
              <w:left w:w="100" w:type="dxa"/>
              <w:bottom w:w="100" w:type="dxa"/>
              <w:right w:w="100" w:type="dxa"/>
            </w:tcMar>
          </w:tcPr>
          <w:p w14:paraId="734791F2" w14:textId="77777777" w:rsidR="00063435" w:rsidRDefault="00BB2993">
            <w:pPr>
              <w:widowControl w:val="0"/>
              <w:spacing w:line="240" w:lineRule="auto"/>
              <w:jc w:val="center"/>
              <w:rPr>
                <w:rFonts w:ascii="Trebuchet MS" w:eastAsia="Trebuchet MS" w:hAnsi="Trebuchet MS" w:cs="Trebuchet MS"/>
                <w:color w:val="0E101A"/>
              </w:rPr>
            </w:pPr>
            <w:r>
              <w:rPr>
                <w:rFonts w:ascii="Trebuchet MS" w:eastAsia="Trebuchet MS" w:hAnsi="Trebuchet MS" w:cs="Trebuchet MS"/>
                <w:color w:val="0E101A"/>
              </w:rPr>
              <w:t>$180</w:t>
            </w:r>
          </w:p>
        </w:tc>
      </w:tr>
    </w:tbl>
    <w:p w14:paraId="555551BF" w14:textId="77777777" w:rsidR="00063435" w:rsidRDefault="00063435">
      <w:pPr>
        <w:rPr>
          <w:rFonts w:ascii="Trebuchet MS" w:eastAsia="Trebuchet MS" w:hAnsi="Trebuchet MS" w:cs="Trebuchet MS"/>
          <w:color w:val="0E101A"/>
        </w:rPr>
      </w:pPr>
    </w:p>
    <w:p w14:paraId="452DF13D" w14:textId="77777777" w:rsidR="00063435" w:rsidRDefault="00BB2993">
      <w:pPr>
        <w:rPr>
          <w:rFonts w:ascii="Trebuchet MS" w:eastAsia="Trebuchet MS" w:hAnsi="Trebuchet MS" w:cs="Trebuchet MS"/>
          <w:color w:val="0E101A"/>
        </w:rPr>
      </w:pPr>
      <w:r>
        <w:rPr>
          <w:rFonts w:ascii="Trebuchet MS" w:eastAsia="Trebuchet MS" w:hAnsi="Trebuchet MS" w:cs="Trebuchet MS"/>
          <w:color w:val="0E101A"/>
        </w:rPr>
        <w:t xml:space="preserve">Reminder: Families will continue to have their copayments covered through December 31, 2022. </w:t>
      </w:r>
    </w:p>
    <w:p w14:paraId="0E8C9DBC" w14:textId="77777777" w:rsidR="00063435" w:rsidRDefault="00063435">
      <w:pPr>
        <w:rPr>
          <w:rFonts w:ascii="Trebuchet MS" w:eastAsia="Trebuchet MS" w:hAnsi="Trebuchet MS" w:cs="Trebuchet MS"/>
          <w:color w:val="0E101A"/>
        </w:rPr>
      </w:pPr>
    </w:p>
    <w:p w14:paraId="438BF057" w14:textId="569136AE" w:rsidR="00063435" w:rsidRDefault="00BB2993">
      <w:pPr>
        <w:rPr>
          <w:rFonts w:ascii="Trebuchet MS" w:eastAsia="Trebuchet MS" w:hAnsi="Trebuchet MS" w:cs="Trebuchet MS"/>
          <w:color w:val="0E101A"/>
        </w:rPr>
      </w:pPr>
      <w:r>
        <w:rPr>
          <w:rFonts w:ascii="Trebuchet MS" w:eastAsia="Trebuchet MS" w:hAnsi="Trebuchet MS" w:cs="Trebuchet MS"/>
          <w:color w:val="0E101A"/>
        </w:rPr>
        <w:t xml:space="preserve">All Program policies including Maximum Reimbursement Rates for providers and additional paid provider holidays/absences, family copayments, and family criteria for eligibility in the Program-–are defined in the </w:t>
      </w:r>
      <w:hyperlink r:id="rId14">
        <w:r>
          <w:rPr>
            <w:rFonts w:ascii="Trebuchet MS" w:eastAsia="Trebuchet MS" w:hAnsi="Trebuchet MS" w:cs="Trebuchet MS"/>
            <w:color w:val="1155CC"/>
            <w:u w:val="single"/>
          </w:rPr>
          <w:t>Child Care Subsidy Program Manual</w:t>
        </w:r>
      </w:hyperlink>
      <w:r>
        <w:rPr>
          <w:rFonts w:ascii="Trebuchet MS" w:eastAsia="Trebuchet MS" w:hAnsi="Trebuchet MS" w:cs="Trebuchet MS"/>
          <w:color w:val="0F150D"/>
        </w:rPr>
        <w:t>.</w:t>
      </w:r>
    </w:p>
    <w:p w14:paraId="350A454B" w14:textId="77777777" w:rsidR="00063435" w:rsidRDefault="00063435"/>
    <w:sectPr w:rsidR="00063435" w:rsidSect="00F318E9">
      <w:type w:val="continuous"/>
      <w:pgSz w:w="12240" w:h="15840"/>
      <w:pgMar w:top="1431"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C736" w14:textId="77777777" w:rsidR="00D36E18" w:rsidRDefault="00D36E18">
      <w:pPr>
        <w:spacing w:line="240" w:lineRule="auto"/>
      </w:pPr>
      <w:r>
        <w:separator/>
      </w:r>
    </w:p>
  </w:endnote>
  <w:endnote w:type="continuationSeparator" w:id="0">
    <w:p w14:paraId="4ABDA3C7" w14:textId="77777777" w:rsidR="00D36E18" w:rsidRDefault="00D36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swiss"/>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A334" w14:textId="5CE377FF" w:rsidR="004C3266" w:rsidRPr="004C3266" w:rsidRDefault="004C3266" w:rsidP="004C3266">
    <w:pPr>
      <w:pStyle w:val="Footer"/>
      <w:jc w:val="right"/>
      <w:rPr>
        <w:color w:val="000000" w:themeColor="text1"/>
      </w:rPr>
    </w:pPr>
    <w:r w:rsidRPr="004C3266">
      <w:rPr>
        <w:color w:val="000000" w:themeColor="text1"/>
      </w:rPr>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E8E0" w14:textId="77777777" w:rsidR="00D36E18" w:rsidRDefault="00D36E18">
      <w:pPr>
        <w:spacing w:line="240" w:lineRule="auto"/>
      </w:pPr>
      <w:r>
        <w:separator/>
      </w:r>
    </w:p>
  </w:footnote>
  <w:footnote w:type="continuationSeparator" w:id="0">
    <w:p w14:paraId="75270A3C" w14:textId="77777777" w:rsidR="00D36E18" w:rsidRDefault="00D36E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C280" w14:textId="77777777" w:rsidR="00063435" w:rsidRDefault="00063435" w:rsidP="00F318E9">
    <w:pPr>
      <w:spacing w:after="200"/>
    </w:pPr>
    <w:bookmarkStart w:id="0" w:name="_dkapnxxku0aa" w:colFirst="0" w:colLast="0"/>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81D"/>
    <w:multiLevelType w:val="multilevel"/>
    <w:tmpl w:val="A434EB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B7906D7"/>
    <w:multiLevelType w:val="multilevel"/>
    <w:tmpl w:val="518E1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A23B37"/>
    <w:multiLevelType w:val="multilevel"/>
    <w:tmpl w:val="E918E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8E300E"/>
    <w:multiLevelType w:val="multilevel"/>
    <w:tmpl w:val="823A79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35580065">
    <w:abstractNumId w:val="3"/>
  </w:num>
  <w:num w:numId="2" w16cid:durableId="424959898">
    <w:abstractNumId w:val="0"/>
  </w:num>
  <w:num w:numId="3" w16cid:durableId="1650355234">
    <w:abstractNumId w:val="1"/>
  </w:num>
  <w:num w:numId="4" w16cid:durableId="1595936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35"/>
    <w:rsid w:val="00063435"/>
    <w:rsid w:val="000B287E"/>
    <w:rsid w:val="002068F0"/>
    <w:rsid w:val="004C3266"/>
    <w:rsid w:val="00555ADE"/>
    <w:rsid w:val="00633E4F"/>
    <w:rsid w:val="006F2ED2"/>
    <w:rsid w:val="00792928"/>
    <w:rsid w:val="00B27C84"/>
    <w:rsid w:val="00BB2993"/>
    <w:rsid w:val="00C44073"/>
    <w:rsid w:val="00D36E18"/>
    <w:rsid w:val="00DC4EA3"/>
    <w:rsid w:val="00F11E11"/>
    <w:rsid w:val="00F3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D288"/>
  <w15:docId w15:val="{657E0AAF-E83C-D144-BE48-4A25E39F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318E9"/>
    <w:pPr>
      <w:outlineLvl w:val="0"/>
    </w:pPr>
    <w:rPr>
      <w:rFonts w:ascii="Trebuchet MS" w:eastAsia="Trebuchet MS" w:hAnsi="Trebuchet MS" w:cs="Trebuchet MS"/>
      <w:b/>
      <w:color w:val="CC0000"/>
      <w:sz w:val="25"/>
      <w:szCs w:val="25"/>
    </w:rPr>
  </w:style>
  <w:style w:type="paragraph" w:styleId="Heading2">
    <w:name w:val="heading 2"/>
    <w:basedOn w:val="Normal"/>
    <w:next w:val="Normal"/>
    <w:uiPriority w:val="9"/>
    <w:unhideWhenUsed/>
    <w:qFormat/>
    <w:rsid w:val="00F318E9"/>
    <w:pPr>
      <w:widowControl w:val="0"/>
      <w:spacing w:before="240"/>
      <w:outlineLvl w:val="1"/>
    </w:pPr>
    <w:rPr>
      <w:rFonts w:ascii="Trebuchet MS" w:eastAsia="Trebuchet MS" w:hAnsi="Trebuchet MS" w:cs="Trebuchet MS"/>
      <w:b/>
    </w:rPr>
  </w:style>
  <w:style w:type="paragraph" w:styleId="Heading3">
    <w:name w:val="heading 3"/>
    <w:basedOn w:val="Normal"/>
    <w:next w:val="Normal"/>
    <w:uiPriority w:val="9"/>
    <w:unhideWhenUsed/>
    <w:qFormat/>
    <w:rsid w:val="00F318E9"/>
    <w:pPr>
      <w:widowControl w:val="0"/>
      <w:outlineLvl w:val="2"/>
    </w:pPr>
    <w:rPr>
      <w:rFonts w:ascii="Trebuchet MS" w:eastAsia="Trebuchet MS" w:hAnsi="Trebuchet MS" w:cs="Trebuchet MS"/>
      <w:color w:val="0E101A"/>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318E9"/>
    <w:pPr>
      <w:tabs>
        <w:tab w:val="center" w:pos="4680"/>
        <w:tab w:val="right" w:pos="9360"/>
      </w:tabs>
      <w:spacing w:line="240" w:lineRule="auto"/>
    </w:pPr>
  </w:style>
  <w:style w:type="character" w:customStyle="1" w:styleId="HeaderChar">
    <w:name w:val="Header Char"/>
    <w:basedOn w:val="DefaultParagraphFont"/>
    <w:link w:val="Header"/>
    <w:uiPriority w:val="99"/>
    <w:rsid w:val="00F318E9"/>
  </w:style>
  <w:style w:type="paragraph" w:styleId="Footer">
    <w:name w:val="footer"/>
    <w:basedOn w:val="Normal"/>
    <w:link w:val="FooterChar"/>
    <w:uiPriority w:val="99"/>
    <w:unhideWhenUsed/>
    <w:rsid w:val="00F318E9"/>
    <w:pPr>
      <w:tabs>
        <w:tab w:val="center" w:pos="4680"/>
        <w:tab w:val="right" w:pos="9360"/>
      </w:tabs>
      <w:spacing w:line="240" w:lineRule="auto"/>
    </w:pPr>
  </w:style>
  <w:style w:type="character" w:customStyle="1" w:styleId="FooterChar">
    <w:name w:val="Footer Char"/>
    <w:basedOn w:val="DefaultParagraphFont"/>
    <w:link w:val="Footer"/>
    <w:uiPriority w:val="99"/>
    <w:rsid w:val="00F3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hildcare.virginia.gov/home/showpublisheddocument/18802/6380410916534300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hildcarev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recard.doe.virginia.gov/early-childhood/vqb5/index.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XJzVroKG4K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hildcare.virginia.gov/home/showpublisheddocument/18802/63804109165343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Lewis, Alieyyah (DOE)</dc:creator>
  <cp:lastModifiedBy>Lewis, Alieyyah (DOE)</cp:lastModifiedBy>
  <cp:revision>2</cp:revision>
  <dcterms:created xsi:type="dcterms:W3CDTF">2023-11-16T14:12:00Z</dcterms:created>
  <dcterms:modified xsi:type="dcterms:W3CDTF">2023-11-16T14:12:00Z</dcterms:modified>
</cp:coreProperties>
</file>