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7E9A" w14:textId="2D1CDB04" w:rsidR="00F318E9" w:rsidRDefault="005A25CE" w:rsidP="00F318E9">
      <w:pPr>
        <w:ind w:left="2880"/>
        <w:rPr>
          <w:rFonts w:ascii="Trebuchet MS" w:eastAsia="Trebuchet MS" w:hAnsi="Trebuchet MS" w:cs="Trebuchet MS"/>
          <w:b/>
          <w:color w:val="CC0000"/>
          <w:sz w:val="28"/>
          <w:szCs w:val="28"/>
        </w:rPr>
      </w:pPr>
      <w:r w:rsidRPr="006F2ED2">
        <w:rPr>
          <w:noProof/>
          <w:lang w:val="en-US"/>
        </w:rPr>
        <w:drawing>
          <wp:inline distT="0" distB="0" distL="0" distR="0" wp14:anchorId="7699121C" wp14:editId="6958A6B8">
            <wp:extent cx="1701887" cy="615982"/>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stretch>
                      <a:fillRect/>
                    </a:stretch>
                  </pic:blipFill>
                  <pic:spPr>
                    <a:xfrm>
                      <a:off x="0" y="0"/>
                      <a:ext cx="1701887" cy="615982"/>
                    </a:xfrm>
                    <a:prstGeom prst="rect">
                      <a:avLst/>
                    </a:prstGeom>
                  </pic:spPr>
                </pic:pic>
              </a:graphicData>
            </a:graphic>
          </wp:inline>
        </w:drawing>
      </w:r>
    </w:p>
    <w:p w14:paraId="15910706" w14:textId="77777777" w:rsidR="00EA2E8C" w:rsidRDefault="00EA2E8C" w:rsidP="00F318E9">
      <w:pPr>
        <w:pStyle w:val="Heading1"/>
      </w:pPr>
    </w:p>
    <w:p w14:paraId="22B8DEC0" w14:textId="16C4C39C" w:rsidR="00F318E9" w:rsidRPr="005A25CE" w:rsidRDefault="00F318E9" w:rsidP="00F318E9">
      <w:pPr>
        <w:pStyle w:val="Heading1"/>
        <w:rPr>
          <w:color w:val="1F497D" w:themeColor="text2"/>
        </w:rPr>
        <w:sectPr w:rsidR="00F318E9" w:rsidRPr="005A25CE" w:rsidSect="00F318E9">
          <w:headerReference w:type="first" r:id="rId8"/>
          <w:pgSz w:w="12240" w:h="15840"/>
          <w:pgMar w:top="360" w:right="1440" w:bottom="1080" w:left="1440" w:header="720" w:footer="720" w:gutter="0"/>
          <w:pgNumType w:start="1"/>
          <w:cols w:space="720"/>
          <w:titlePg/>
        </w:sectPr>
      </w:pPr>
      <w:r w:rsidRPr="005A25CE">
        <w:rPr>
          <w:color w:val="1F497D" w:themeColor="text2"/>
        </w:rPr>
        <w:t>NUEVAS TARIFAS Y COPAGOS FAMILIARES DEL PROGRAMA DE SUBSIDIO DE CUIDADO INFANTIL</w:t>
      </w:r>
    </w:p>
    <w:p w14:paraId="3BFE3081" w14:textId="7D797084" w:rsidR="00F318E9" w:rsidRDefault="00F318E9" w:rsidP="00F318E9">
      <w:pPr>
        <w:rPr>
          <w:rFonts w:ascii="Trebuchet MS" w:eastAsia="Trebuchet MS" w:hAnsi="Trebuchet MS" w:cs="Trebuchet MS"/>
          <w:b/>
          <w:color w:val="CC0000"/>
          <w:sz w:val="28"/>
          <w:szCs w:val="28"/>
        </w:rPr>
      </w:pPr>
    </w:p>
    <w:p w14:paraId="32AEA5C8" w14:textId="77777777" w:rsidR="00063435" w:rsidRDefault="00BB3A9C">
      <w:pPr>
        <w:widowControl w:val="0"/>
        <w:spacing w:after="240"/>
        <w:rPr>
          <w:rFonts w:ascii="Trebuchet MS" w:eastAsia="Trebuchet MS" w:hAnsi="Trebuchet MS" w:cs="Trebuchet MS"/>
        </w:rPr>
      </w:pPr>
      <w:r>
        <w:rPr>
          <w:rFonts w:ascii="Trebuchet MS" w:eastAsia="Trebuchet MS" w:hAnsi="Trebuchet MS" w:cs="Trebuchet MS"/>
        </w:rPr>
        <w:t>Con el objetivo de mejorar los preparativos para asistir a la escuela y ayudar a la industria del cuidado infantil, los legisladores de Virginia agregaron lenguaje presupuestario en 2022 para exigir dos cambios clave en el Programa de Subsidio de Cuidado Infantil (CCSP, por sus siglas en inglés). Estos cambios ayudarán a que los programas de cuidado infantil cumplan con las expectativas de calidad y respalden mejor a su fuerza laboral, y harán que el cuidado infantil sea más accesible y asequible para las familias:</w:t>
      </w:r>
    </w:p>
    <w:p w14:paraId="711AC2BE" w14:textId="77777777" w:rsidR="00063435" w:rsidRDefault="00BB3A9C">
      <w:pPr>
        <w:widowControl w:val="0"/>
        <w:numPr>
          <w:ilvl w:val="0"/>
          <w:numId w:val="4"/>
        </w:numPr>
        <w:spacing w:before="240"/>
        <w:rPr>
          <w:rFonts w:ascii="Trebuchet MS" w:eastAsia="Trebuchet MS" w:hAnsi="Trebuchet MS" w:cs="Trebuchet MS"/>
        </w:rPr>
      </w:pPr>
      <w:r>
        <w:rPr>
          <w:rFonts w:ascii="Trebuchet MS" w:eastAsia="Trebuchet MS" w:hAnsi="Trebuchet MS" w:cs="Trebuchet MS"/>
        </w:rPr>
        <w:t>A los proveedores de CCSP se les pagará en función del costo para cumplir con las expectativas de calidad; y</w:t>
      </w:r>
    </w:p>
    <w:p w14:paraId="2AADF21A" w14:textId="77777777" w:rsidR="00063435" w:rsidRDefault="00BB3A9C">
      <w:pPr>
        <w:widowControl w:val="0"/>
        <w:numPr>
          <w:ilvl w:val="0"/>
          <w:numId w:val="4"/>
        </w:numPr>
        <w:spacing w:after="240"/>
        <w:rPr>
          <w:rFonts w:ascii="Trebuchet MS" w:eastAsia="Trebuchet MS" w:hAnsi="Trebuchet MS" w:cs="Trebuchet MS"/>
        </w:rPr>
      </w:pPr>
      <w:r>
        <w:rPr>
          <w:rFonts w:ascii="Trebuchet MS" w:eastAsia="Trebuchet MS" w:hAnsi="Trebuchet MS" w:cs="Trebuchet MS"/>
        </w:rPr>
        <w:t>las familias cambiarán a copagos mensuales bajos por niño.</w:t>
      </w:r>
    </w:p>
    <w:p w14:paraId="6E2DABAE" w14:textId="77777777" w:rsidR="00063435" w:rsidRPr="00F318E9" w:rsidRDefault="00BB3A9C" w:rsidP="00F318E9">
      <w:pPr>
        <w:pStyle w:val="Heading2"/>
      </w:pPr>
      <w:r w:rsidRPr="00F318E9">
        <w:t>Nuevas tasas máximas de reembolso (MRR, por sus siglas en inglés) para proveedores de cuidado infantil de CCSP</w:t>
      </w:r>
    </w:p>
    <w:p w14:paraId="6920230D" w14:textId="77777777" w:rsidR="00063435" w:rsidRDefault="00BB3A9C">
      <w:pPr>
        <w:widowControl w:val="0"/>
        <w:spacing w:after="200"/>
        <w:rPr>
          <w:rFonts w:ascii="Trebuchet MS" w:eastAsia="Trebuchet MS" w:hAnsi="Trebuchet MS" w:cs="Trebuchet MS"/>
          <w:color w:val="0E101A"/>
        </w:rPr>
      </w:pPr>
      <w:r>
        <w:rPr>
          <w:rFonts w:ascii="Trebuchet MS" w:eastAsia="Trebuchet MS" w:hAnsi="Trebuchet MS" w:cs="Trebuchet MS"/>
        </w:rPr>
        <w:t>A partir del 1 de octubre de 2022, Virginia utilizará un modelo de estimación de costos para determinar el "costo real" de brindar atención y educación de calidad y establecer la MRR en el CCSP. El modelo de Virginia se</w:t>
      </w:r>
      <w:r>
        <w:rPr>
          <w:rFonts w:ascii="Trebuchet MS" w:eastAsia="Trebuchet MS" w:hAnsi="Trebuchet MS" w:cs="Trebuchet MS"/>
          <w:color w:val="0E101A"/>
        </w:rPr>
        <w:t xml:space="preserve"> desarrolló en colaboración con expertos nacionales y refleja los comentarios de los centros de cuidado infantil, los hogares familiares diurnos y las familias de Virginia. </w:t>
      </w:r>
      <w:hyperlink r:id="rId9">
        <w:r>
          <w:rPr>
            <w:rFonts w:ascii="Trebuchet MS" w:eastAsia="Trebuchet MS" w:hAnsi="Trebuchet MS" w:cs="Trebuchet MS"/>
            <w:color w:val="1155CC"/>
            <w:u w:val="single"/>
          </w:rPr>
          <w:t>Grabación de la sesión de participación pública de junio de 2022</w:t>
        </w:r>
      </w:hyperlink>
      <w:r>
        <w:rPr>
          <w:rFonts w:ascii="Trebuchet MS" w:eastAsia="Trebuchet MS" w:hAnsi="Trebuchet MS" w:cs="Trebuchet MS"/>
          <w:color w:val="0E101A"/>
        </w:rPr>
        <w:t>.</w:t>
      </w:r>
    </w:p>
    <w:p w14:paraId="10ED98D8" w14:textId="77777777" w:rsidR="00063435" w:rsidRPr="00F318E9" w:rsidRDefault="00BB3A9C" w:rsidP="00F318E9">
      <w:pPr>
        <w:pStyle w:val="Heading3"/>
      </w:pPr>
      <w:r w:rsidRPr="00F318E9">
        <w:t>El modelo de Virginia significa que las nuevas tasas MRR:</w:t>
      </w:r>
    </w:p>
    <w:p w14:paraId="060D5842" w14:textId="77777777" w:rsidR="00063435" w:rsidRDefault="00BB3A9C">
      <w:pPr>
        <w:widowControl w:val="0"/>
        <w:numPr>
          <w:ilvl w:val="0"/>
          <w:numId w:val="2"/>
        </w:numPr>
        <w:rPr>
          <w:rFonts w:ascii="Trebuchet MS" w:eastAsia="Trebuchet MS" w:hAnsi="Trebuchet MS" w:cs="Trebuchet MS"/>
          <w:color w:val="0E101A"/>
        </w:rPr>
      </w:pPr>
      <w:r>
        <w:rPr>
          <w:rFonts w:ascii="Trebuchet MS" w:eastAsia="Trebuchet MS" w:hAnsi="Trebuchet MS" w:cs="Trebuchet MS"/>
          <w:color w:val="0E101A"/>
        </w:rPr>
        <w:t>tendrán en cuenta las diferencias en tamaño y configuración;</w:t>
      </w:r>
    </w:p>
    <w:p w14:paraId="48FFA1E2" w14:textId="77777777" w:rsidR="00063435" w:rsidRDefault="00BB3A9C">
      <w:pPr>
        <w:widowControl w:val="0"/>
        <w:numPr>
          <w:ilvl w:val="0"/>
          <w:numId w:val="2"/>
        </w:numPr>
        <w:rPr>
          <w:rFonts w:ascii="Trebuchet MS" w:eastAsia="Trebuchet MS" w:hAnsi="Trebuchet MS" w:cs="Trebuchet MS"/>
          <w:color w:val="0E101A"/>
        </w:rPr>
      </w:pPr>
      <w:r>
        <w:rPr>
          <w:rFonts w:ascii="Trebuchet MS" w:eastAsia="Trebuchet MS" w:hAnsi="Trebuchet MS" w:cs="Trebuchet MS"/>
          <w:color w:val="0E101A"/>
        </w:rPr>
        <w:t xml:space="preserve">tendrán en cuenta las variaciones geográficas en los salarios y otros costos operativos; </w:t>
      </w:r>
    </w:p>
    <w:p w14:paraId="11F24700" w14:textId="77777777" w:rsidR="00063435" w:rsidRDefault="00BB3A9C">
      <w:pPr>
        <w:widowControl w:val="0"/>
        <w:numPr>
          <w:ilvl w:val="0"/>
          <w:numId w:val="2"/>
        </w:numPr>
        <w:rPr>
          <w:rFonts w:ascii="Trebuchet MS" w:eastAsia="Trebuchet MS" w:hAnsi="Trebuchet MS" w:cs="Trebuchet MS"/>
          <w:color w:val="0E101A"/>
        </w:rPr>
      </w:pPr>
      <w:r>
        <w:rPr>
          <w:rFonts w:ascii="Trebuchet MS" w:eastAsia="Trebuchet MS" w:hAnsi="Trebuchet MS" w:cs="Trebuchet MS"/>
        </w:rPr>
        <w:t>tendrán en cuenta el costo de cumplir con los estándares de salud y seguridad de Virginia, incluidos los tamaños de los grupos según la edad y la proporción entre maestros y niños; y</w:t>
      </w:r>
    </w:p>
    <w:p w14:paraId="169A940F" w14:textId="0B21C39C" w:rsidR="00063435" w:rsidRDefault="00BB3A9C">
      <w:pPr>
        <w:widowControl w:val="0"/>
        <w:numPr>
          <w:ilvl w:val="0"/>
          <w:numId w:val="2"/>
        </w:numPr>
        <w:spacing w:after="200"/>
        <w:rPr>
          <w:rFonts w:ascii="Trebuchet MS" w:eastAsia="Trebuchet MS" w:hAnsi="Trebuchet MS" w:cs="Trebuchet MS"/>
          <w:color w:val="0E101A"/>
        </w:rPr>
      </w:pPr>
      <w:r>
        <w:rPr>
          <w:rFonts w:ascii="Trebuchet MS" w:eastAsia="Trebuchet MS" w:hAnsi="Trebuchet MS" w:cs="Trebuchet MS"/>
          <w:color w:val="0E101A"/>
        </w:rPr>
        <w:t xml:space="preserve">asumirán la necesidad de ofrecer una compensación competitiva y apoyo a los educadores como parte del </w:t>
      </w:r>
      <w:proofErr w:type="spellStart"/>
      <w:r>
        <w:rPr>
          <w:rFonts w:ascii="Trebuchet MS" w:eastAsia="Trebuchet MS" w:hAnsi="Trebuchet MS" w:cs="Trebuchet MS"/>
          <w:color w:val="0E101A"/>
        </w:rPr>
        <w:t>cumplimiento</w:t>
      </w:r>
      <w:proofErr w:type="spellEnd"/>
      <w:r>
        <w:rPr>
          <w:rFonts w:ascii="Trebuchet MS" w:eastAsia="Trebuchet MS" w:hAnsi="Trebuchet MS" w:cs="Trebuchet MS"/>
          <w:color w:val="0E101A"/>
        </w:rPr>
        <w:t xml:space="preserve"> de las </w:t>
      </w:r>
      <w:proofErr w:type="spellStart"/>
      <w:r>
        <w:rPr>
          <w:rFonts w:ascii="Trebuchet MS" w:eastAsia="Trebuchet MS" w:hAnsi="Trebuchet MS" w:cs="Trebuchet MS"/>
          <w:color w:val="0E101A"/>
        </w:rPr>
        <w:t>expectativas</w:t>
      </w:r>
      <w:proofErr w:type="spellEnd"/>
      <w:r>
        <w:rPr>
          <w:rFonts w:ascii="Trebuchet MS" w:eastAsia="Trebuchet MS" w:hAnsi="Trebuchet MS" w:cs="Trebuchet MS"/>
          <w:color w:val="0E101A"/>
        </w:rPr>
        <w:t xml:space="preserve"> </w:t>
      </w:r>
      <w:proofErr w:type="spellStart"/>
      <w:r>
        <w:rPr>
          <w:rFonts w:ascii="Trebuchet MS" w:eastAsia="Trebuchet MS" w:hAnsi="Trebuchet MS" w:cs="Trebuchet MS"/>
          <w:color w:val="0E101A"/>
        </w:rPr>
        <w:t>en</w:t>
      </w:r>
      <w:proofErr w:type="spellEnd"/>
      <w:r>
        <w:rPr>
          <w:rFonts w:ascii="Trebuchet MS" w:eastAsia="Trebuchet MS" w:hAnsi="Trebuchet MS" w:cs="Trebuchet MS"/>
          <w:color w:val="0E101A"/>
        </w:rPr>
        <w:t xml:space="preserve"> </w:t>
      </w:r>
      <w:proofErr w:type="spellStart"/>
      <w:r>
        <w:rPr>
          <w:rFonts w:ascii="Trebuchet MS" w:eastAsia="Trebuchet MS" w:hAnsi="Trebuchet MS" w:cs="Trebuchet MS"/>
          <w:color w:val="0E101A"/>
        </w:rPr>
        <w:t>el</w:t>
      </w:r>
      <w:proofErr w:type="spellEnd"/>
      <w:r>
        <w:rPr>
          <w:rFonts w:ascii="Trebuchet MS" w:eastAsia="Trebuchet MS" w:hAnsi="Trebuchet MS" w:cs="Trebuchet MS"/>
          <w:color w:val="0E101A"/>
        </w:rPr>
        <w:t xml:space="preserve"> </w:t>
      </w:r>
      <w:hyperlink r:id="rId10">
        <w:r>
          <w:rPr>
            <w:rFonts w:ascii="Trebuchet MS" w:eastAsia="Trebuchet MS" w:hAnsi="Trebuchet MS" w:cs="Trebuchet MS"/>
            <w:color w:val="1155CC"/>
            <w:u w:val="single"/>
          </w:rPr>
          <w:t>VQB5</w:t>
        </w:r>
      </w:hyperlink>
      <w:r>
        <w:rPr>
          <w:rFonts w:ascii="Trebuchet MS" w:eastAsia="Trebuchet MS" w:hAnsi="Trebuchet MS" w:cs="Trebuchet MS"/>
          <w:color w:val="0E101A"/>
        </w:rPr>
        <w:t>.</w:t>
      </w:r>
    </w:p>
    <w:p w14:paraId="432EBABF" w14:textId="77777777" w:rsidR="00063435" w:rsidRDefault="00BB3A9C" w:rsidP="00F318E9">
      <w:pPr>
        <w:pStyle w:val="Heading3"/>
      </w:pPr>
      <w:r>
        <w:t xml:space="preserve">Puntos clave para los programas basados en el centro: </w:t>
      </w:r>
    </w:p>
    <w:p w14:paraId="72BF0D2C" w14:textId="77777777" w:rsidR="00063435" w:rsidRDefault="00BB3A9C">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La MRR de día completo se establece en el 75 % de los costos estimados en función de la región lista en la que se encuentra el centro.</w:t>
      </w:r>
    </w:p>
    <w:p w14:paraId="26693E62" w14:textId="77777777" w:rsidR="00063435" w:rsidRDefault="00BB3A9C" w:rsidP="00F318E9">
      <w:pPr>
        <w:widowControl w:val="0"/>
        <w:numPr>
          <w:ilvl w:val="0"/>
          <w:numId w:val="3"/>
        </w:numPr>
        <w:spacing w:after="216"/>
        <w:rPr>
          <w:rFonts w:ascii="Arial" w:eastAsia="Arial" w:hAnsi="Arial" w:cs="Arial"/>
          <w:color w:val="0E101A"/>
        </w:rPr>
      </w:pPr>
      <w:r>
        <w:rPr>
          <w:rFonts w:ascii="Trebuchet MS" w:eastAsia="Trebuchet MS" w:hAnsi="Trebuchet MS" w:cs="Trebuchet MS"/>
          <w:color w:val="0E101A"/>
        </w:rPr>
        <w:t>Los centros de Nivel 1 y Nivel 2 ahora tendrán las mismas tarifas porque los requisitos de salud y seguridad son similares.</w:t>
      </w:r>
    </w:p>
    <w:p w14:paraId="1AD5E43C" w14:textId="77777777" w:rsidR="00EA2E8C" w:rsidRDefault="00EA2E8C" w:rsidP="00F318E9">
      <w:pPr>
        <w:pStyle w:val="Heading3"/>
      </w:pPr>
      <w:r>
        <w:br w:type="page"/>
      </w:r>
    </w:p>
    <w:p w14:paraId="2E8AF092" w14:textId="7EC3064E" w:rsidR="00063435" w:rsidRDefault="00BB3A9C" w:rsidP="00F318E9">
      <w:pPr>
        <w:pStyle w:val="Heading3"/>
      </w:pPr>
      <w:r>
        <w:lastRenderedPageBreak/>
        <w:t xml:space="preserve">Puntos clave para </w:t>
      </w:r>
      <w:proofErr w:type="spellStart"/>
      <w:r>
        <w:t>los</w:t>
      </w:r>
      <w:proofErr w:type="spellEnd"/>
      <w:r>
        <w:t xml:space="preserve"> </w:t>
      </w:r>
      <w:proofErr w:type="spellStart"/>
      <w:r>
        <w:t>hogares</w:t>
      </w:r>
      <w:proofErr w:type="spellEnd"/>
      <w:r>
        <w:t xml:space="preserve"> </w:t>
      </w:r>
      <w:proofErr w:type="spellStart"/>
      <w:r>
        <w:t>familiares</w:t>
      </w:r>
      <w:proofErr w:type="spellEnd"/>
      <w:r>
        <w:t xml:space="preserve"> </w:t>
      </w:r>
      <w:proofErr w:type="spellStart"/>
      <w:r>
        <w:t>diurnos</w:t>
      </w:r>
      <w:proofErr w:type="spellEnd"/>
    </w:p>
    <w:p w14:paraId="233BE902" w14:textId="4151A6A4" w:rsidR="00063435" w:rsidRDefault="00BB3A9C">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 xml:space="preserve">La MRR de día completo se establece regionalmente a costos estimados para los hogares familiares diurnos de Nivel 1 y Nivel 2. Estas MRR son diferentes debido a los requisitos de salud y seguridad. </w:t>
      </w:r>
    </w:p>
    <w:p w14:paraId="7472C275" w14:textId="77777777" w:rsidR="00EA2E8C" w:rsidRDefault="00EA2E8C" w:rsidP="00EA2E8C">
      <w:pPr>
        <w:widowControl w:val="0"/>
        <w:ind w:left="720"/>
        <w:rPr>
          <w:rFonts w:ascii="Trebuchet MS" w:eastAsia="Trebuchet MS" w:hAnsi="Trebuchet MS" w:cs="Trebuchet MS"/>
          <w:color w:val="0E101A"/>
        </w:rPr>
      </w:pPr>
    </w:p>
    <w:p w14:paraId="4C66AEA5" w14:textId="77777777" w:rsidR="00063435" w:rsidRDefault="00BB3A9C" w:rsidP="00F318E9">
      <w:pPr>
        <w:widowControl w:val="0"/>
        <w:numPr>
          <w:ilvl w:val="0"/>
          <w:numId w:val="3"/>
        </w:numPr>
        <w:spacing w:after="216"/>
        <w:rPr>
          <w:rFonts w:ascii="Trebuchet MS" w:eastAsia="Trebuchet MS" w:hAnsi="Trebuchet MS" w:cs="Trebuchet MS"/>
          <w:color w:val="0E101A"/>
        </w:rPr>
      </w:pPr>
      <w:r>
        <w:rPr>
          <w:rFonts w:ascii="Trebuchet MS" w:eastAsia="Trebuchet MS" w:hAnsi="Trebuchet MS" w:cs="Trebuchet MS"/>
          <w:color w:val="0E101A"/>
        </w:rPr>
        <w:t>Las tarifas se establecen en porcentajes graduados de costo para cada grupo de edad: 94 % para bebés, 82 % para niños pequeños, 76 % para preescolar y 70 % para niños en edad escolar. Las tarifas modeladas representan el costo de atender a grupos de edades mixtas.</w:t>
      </w:r>
    </w:p>
    <w:p w14:paraId="1A46BD45" w14:textId="77777777" w:rsidR="00063435" w:rsidRDefault="00BB3A9C" w:rsidP="00F318E9">
      <w:pPr>
        <w:pStyle w:val="Heading3"/>
      </w:pPr>
      <w:r>
        <w:t xml:space="preserve">Puntos clave para todos los programas: </w:t>
      </w:r>
    </w:p>
    <w:p w14:paraId="26D7C4ED" w14:textId="77777777" w:rsidR="00063435" w:rsidRDefault="00BB3A9C">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Ningún sitio experimentará una reducción en las tasas de pago. Las tarifas locales de día completo y de día parcial aumentan o son exoneradas. Si el modelo generó una tasa inferior a la MRR de 2018, esa tasa se mantendrá igual.</w:t>
      </w:r>
    </w:p>
    <w:p w14:paraId="3EAA8F2A" w14:textId="77777777" w:rsidR="00063435" w:rsidRDefault="00BB3A9C">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 xml:space="preserve">Las tarifas de medio día se prorratean en función de las tarifas de día completo. </w:t>
      </w:r>
    </w:p>
    <w:p w14:paraId="30431AA5" w14:textId="77777777" w:rsidR="00063435" w:rsidRDefault="00063435">
      <w:pPr>
        <w:widowControl w:val="0"/>
        <w:ind w:left="1440"/>
        <w:rPr>
          <w:rFonts w:ascii="Trebuchet MS" w:eastAsia="Trebuchet MS" w:hAnsi="Trebuchet MS" w:cs="Trebuchet MS"/>
          <w:color w:val="0E101A"/>
        </w:rPr>
      </w:pPr>
    </w:p>
    <w:p w14:paraId="1962045C" w14:textId="1DA5BA20" w:rsidR="00063435" w:rsidRDefault="00BB3A9C">
      <w:pPr>
        <w:rPr>
          <w:rFonts w:ascii="Trebuchet MS" w:eastAsia="Trebuchet MS" w:hAnsi="Trebuchet MS" w:cs="Trebuchet MS"/>
          <w:color w:val="0F150D"/>
        </w:rPr>
      </w:pPr>
      <w:r>
        <w:rPr>
          <w:rFonts w:ascii="Trebuchet MS" w:eastAsia="Trebuchet MS" w:hAnsi="Trebuchet MS" w:cs="Trebuchet MS"/>
        </w:rPr>
        <w:t xml:space="preserve">El Departamento </w:t>
      </w:r>
      <w:r>
        <w:rPr>
          <w:rFonts w:ascii="Trebuchet MS" w:eastAsia="Trebuchet MS" w:hAnsi="Trebuchet MS" w:cs="Trebuchet MS"/>
          <w:u w:val="single"/>
        </w:rPr>
        <w:t>no</w:t>
      </w:r>
      <w:r>
        <w:rPr>
          <w:rFonts w:ascii="Trebuchet MS" w:eastAsia="Trebuchet MS" w:hAnsi="Trebuchet MS" w:cs="Trebuchet MS"/>
        </w:rPr>
        <w:t xml:space="preserve"> pagará más de la MRR establecida. Sin embargo, si la MRR es más alta que la tarifa que un programa cobra al público en general, se le pagará al proveedor la MRR. Si un proveedor prefiere recibir una tarifa más baja que la MRR, comuníquese con VDSS. La</w:t>
      </w:r>
      <w:r>
        <w:rPr>
          <w:rFonts w:ascii="Trebuchet MS" w:eastAsia="Trebuchet MS" w:hAnsi="Trebuchet MS" w:cs="Trebuchet MS"/>
          <w:color w:val="0F150D"/>
        </w:rPr>
        <w:t xml:space="preserve">s tarifas propuestas están disponibles para su revisión en </w:t>
      </w:r>
      <w:hyperlink r:id="rId11">
        <w:r>
          <w:rPr>
            <w:rFonts w:ascii="Trebuchet MS" w:eastAsia="Trebuchet MS" w:hAnsi="Trebuchet MS" w:cs="Trebuchet MS"/>
            <w:color w:val="1155CC"/>
            <w:u w:val="single"/>
          </w:rPr>
          <w:t>childcareva.com</w:t>
        </w:r>
      </w:hyperlink>
      <w:r>
        <w:rPr>
          <w:rFonts w:ascii="Trebuchet MS" w:eastAsia="Trebuchet MS" w:hAnsi="Trebuchet MS" w:cs="Trebuchet MS"/>
          <w:color w:val="0F150D"/>
        </w:rPr>
        <w:t xml:space="preserve"> o en el manual del Programa de </w:t>
      </w:r>
      <w:proofErr w:type="spellStart"/>
      <w:r>
        <w:rPr>
          <w:rFonts w:ascii="Trebuchet MS" w:eastAsia="Trebuchet MS" w:hAnsi="Trebuchet MS" w:cs="Trebuchet MS"/>
          <w:color w:val="0F150D"/>
        </w:rPr>
        <w:t>Subsidio</w:t>
      </w:r>
      <w:proofErr w:type="spellEnd"/>
      <w:r>
        <w:rPr>
          <w:rFonts w:ascii="Trebuchet MS" w:eastAsia="Trebuchet MS" w:hAnsi="Trebuchet MS" w:cs="Trebuchet MS"/>
          <w:color w:val="0F150D"/>
        </w:rPr>
        <w:t xml:space="preserve"> de </w:t>
      </w:r>
      <w:proofErr w:type="spellStart"/>
      <w:r>
        <w:rPr>
          <w:rFonts w:ascii="Trebuchet MS" w:eastAsia="Trebuchet MS" w:hAnsi="Trebuchet MS" w:cs="Trebuchet MS"/>
          <w:color w:val="0F150D"/>
        </w:rPr>
        <w:t>Cuidado</w:t>
      </w:r>
      <w:proofErr w:type="spellEnd"/>
      <w:r>
        <w:rPr>
          <w:rFonts w:ascii="Trebuchet MS" w:eastAsia="Trebuchet MS" w:hAnsi="Trebuchet MS" w:cs="Trebuchet MS"/>
          <w:color w:val="0F150D"/>
        </w:rPr>
        <w:t xml:space="preserve"> </w:t>
      </w:r>
      <w:proofErr w:type="spellStart"/>
      <w:r>
        <w:rPr>
          <w:rFonts w:ascii="Trebuchet MS" w:eastAsia="Trebuchet MS" w:hAnsi="Trebuchet MS" w:cs="Trebuchet MS"/>
          <w:color w:val="0F150D"/>
        </w:rPr>
        <w:t>Infantil</w:t>
      </w:r>
      <w:proofErr w:type="spellEnd"/>
      <w:r>
        <w:rPr>
          <w:rFonts w:ascii="Trebuchet MS" w:eastAsia="Trebuchet MS" w:hAnsi="Trebuchet MS" w:cs="Trebuchet MS"/>
          <w:color w:val="0F150D"/>
        </w:rPr>
        <w:t xml:space="preserve"> de </w:t>
      </w:r>
      <w:hyperlink r:id="rId12">
        <w:proofErr w:type="spellStart"/>
        <w:r>
          <w:rPr>
            <w:rFonts w:ascii="Trebuchet MS" w:eastAsia="Trebuchet MS" w:hAnsi="Trebuchet MS" w:cs="Trebuchet MS"/>
            <w:color w:val="1155CC"/>
            <w:u w:val="single"/>
          </w:rPr>
          <w:t>octubre</w:t>
        </w:r>
        <w:proofErr w:type="spellEnd"/>
        <w:r>
          <w:rPr>
            <w:rFonts w:ascii="Trebuchet MS" w:eastAsia="Trebuchet MS" w:hAnsi="Trebuchet MS" w:cs="Trebuchet MS"/>
            <w:color w:val="1155CC"/>
            <w:u w:val="single"/>
          </w:rPr>
          <w:t xml:space="preserve"> de 2022</w:t>
        </w:r>
      </w:hyperlink>
      <w:r>
        <w:rPr>
          <w:rFonts w:ascii="Trebuchet MS" w:eastAsia="Trebuchet MS" w:hAnsi="Trebuchet MS" w:cs="Trebuchet MS"/>
          <w:color w:val="0F150D"/>
        </w:rPr>
        <w:t>.</w:t>
      </w:r>
    </w:p>
    <w:p w14:paraId="604DFDC9" w14:textId="77777777" w:rsidR="00063435" w:rsidRDefault="00BB3A9C" w:rsidP="00F318E9">
      <w:pPr>
        <w:pStyle w:val="Heading2"/>
      </w:pPr>
      <w:r>
        <w:t>Escala revisada de copagos familiares</w:t>
      </w:r>
    </w:p>
    <w:p w14:paraId="2B0DE2FC" w14:textId="77777777" w:rsidR="00063435" w:rsidRDefault="00BB3A9C">
      <w:pPr>
        <w:rPr>
          <w:rFonts w:ascii="Trebuchet MS" w:eastAsia="Trebuchet MS" w:hAnsi="Trebuchet MS" w:cs="Trebuchet MS"/>
          <w:color w:val="0E101A"/>
        </w:rPr>
      </w:pPr>
      <w:r>
        <w:rPr>
          <w:rFonts w:ascii="Trebuchet MS" w:eastAsia="Trebuchet MS" w:hAnsi="Trebuchet MS" w:cs="Trebuchet MS"/>
          <w:color w:val="0E101A"/>
        </w:rPr>
        <w:t xml:space="preserve">La ley federal requiere que la mayoría de las familias en el CCSP paguen un copago a su proveedor de cuidado infantil. Durante la pandemia, el gobierno federal brindó flexibilidad y Virginia cubrió temporalmente todos los copagos. Esta flexibilidad, sin embargo, finalizará el 31 de diciembre de 2022 y Virginia deberá comenzar a cobrar copagos nuevamente. </w:t>
      </w:r>
    </w:p>
    <w:p w14:paraId="4EC9A4A7" w14:textId="77777777" w:rsidR="00063435" w:rsidRDefault="00063435">
      <w:pPr>
        <w:rPr>
          <w:rFonts w:ascii="Trebuchet MS" w:eastAsia="Trebuchet MS" w:hAnsi="Trebuchet MS" w:cs="Trebuchet MS"/>
          <w:color w:val="0E101A"/>
        </w:rPr>
      </w:pPr>
    </w:p>
    <w:p w14:paraId="28BE82F8" w14:textId="77777777" w:rsidR="00063435" w:rsidRDefault="00BB3A9C">
      <w:pPr>
        <w:rPr>
          <w:rFonts w:ascii="Trebuchet MS" w:eastAsia="Trebuchet MS" w:hAnsi="Trebuchet MS" w:cs="Trebuchet MS"/>
          <w:color w:val="0E101A"/>
        </w:rPr>
      </w:pPr>
      <w:r>
        <w:rPr>
          <w:rFonts w:ascii="Trebuchet MS" w:eastAsia="Trebuchet MS" w:hAnsi="Trebuchet MS" w:cs="Trebuchet MS"/>
          <w:color w:val="0E101A"/>
        </w:rPr>
        <w:t xml:space="preserve">Antes de la pandemia de COVID-19, una familia de cuatro podía deber más de $8,000 en copagos al año, lo cual era inasequible e insostenible. En respuesta al texto del presupuesto aprobado por la Asamblea General en 2022 y los comentarios de las familias y los proveedores de cuidado infantil, el VDOE adoptará una nueva escala de copago simple el 1 de enero de 2023. Esto reducirá la carga de los copagos para las familias y se asemejará más a otros programas financiados con fondos públicos. </w:t>
      </w:r>
    </w:p>
    <w:p w14:paraId="2FB337F1" w14:textId="77777777" w:rsidR="00063435" w:rsidRDefault="00063435">
      <w:pPr>
        <w:rPr>
          <w:rFonts w:ascii="Trebuchet MS" w:eastAsia="Trebuchet MS" w:hAnsi="Trebuchet MS" w:cs="Trebuchet MS"/>
          <w:color w:val="0E101A"/>
        </w:rPr>
      </w:pPr>
    </w:p>
    <w:p w14:paraId="0975D5D9" w14:textId="77777777" w:rsidR="00063435" w:rsidRDefault="00BB3A9C" w:rsidP="00F318E9">
      <w:pPr>
        <w:pStyle w:val="Heading3"/>
      </w:pPr>
      <w:r>
        <w:t>A partir del 1 de enero de 2023:</w:t>
      </w:r>
    </w:p>
    <w:p w14:paraId="08998947" w14:textId="77777777" w:rsidR="00063435" w:rsidRDefault="00BB3A9C">
      <w:pPr>
        <w:numPr>
          <w:ilvl w:val="0"/>
          <w:numId w:val="1"/>
        </w:numPr>
        <w:rPr>
          <w:rFonts w:ascii="Trebuchet MS" w:eastAsia="Trebuchet MS" w:hAnsi="Trebuchet MS" w:cs="Trebuchet MS"/>
          <w:color w:val="0E101A"/>
        </w:rPr>
      </w:pPr>
      <w:r>
        <w:rPr>
          <w:rFonts w:ascii="Trebuchet MS" w:eastAsia="Trebuchet MS" w:hAnsi="Trebuchet MS" w:cs="Trebuchet MS"/>
          <w:color w:val="0E101A"/>
        </w:rPr>
        <w:t>Se eliminarán los copagos para las familias con ingresos iguales o inferiores al 100 % de la Pauta federal de pobreza (FPG, por sus siglas en inglés).</w:t>
      </w:r>
    </w:p>
    <w:p w14:paraId="0534190D" w14:textId="77777777" w:rsidR="00063435" w:rsidRDefault="00BB3A9C">
      <w:pPr>
        <w:numPr>
          <w:ilvl w:val="0"/>
          <w:numId w:val="1"/>
        </w:numPr>
        <w:rPr>
          <w:rFonts w:ascii="Trebuchet MS" w:eastAsia="Trebuchet MS" w:hAnsi="Trebuchet MS" w:cs="Trebuchet MS"/>
          <w:color w:val="0E101A"/>
        </w:rPr>
      </w:pPr>
      <w:r>
        <w:rPr>
          <w:rFonts w:ascii="Trebuchet MS" w:eastAsia="Trebuchet MS" w:hAnsi="Trebuchet MS" w:cs="Trebuchet MS"/>
          <w:color w:val="0E101A"/>
        </w:rPr>
        <w:t>Las familias con ingresos familiares superiores al 100 % de FPG tendrán un copago. Sin embargo, los copagos serán tarifas mensuales bajas basadas en los ingresos del hogar y la cantidad de niños que reciben asistencia (hasta tres niños).</w:t>
      </w:r>
    </w:p>
    <w:p w14:paraId="3AB1BA4D" w14:textId="77777777" w:rsidR="00063435" w:rsidRDefault="00BB3A9C">
      <w:pPr>
        <w:numPr>
          <w:ilvl w:val="0"/>
          <w:numId w:val="1"/>
        </w:numPr>
        <w:rPr>
          <w:rFonts w:ascii="Trebuchet MS" w:eastAsia="Trebuchet MS" w:hAnsi="Trebuchet MS" w:cs="Trebuchet MS"/>
          <w:color w:val="0E101A"/>
        </w:rPr>
      </w:pPr>
      <w:r>
        <w:rPr>
          <w:rFonts w:ascii="Trebuchet MS" w:eastAsia="Trebuchet MS" w:hAnsi="Trebuchet MS" w:cs="Trebuchet MS"/>
          <w:color w:val="0E101A"/>
        </w:rPr>
        <w:t>Las tarifas totales máximas para los copagos familiares mensuales no excederán el 7 por ciento de los ingresos familiares.</w:t>
      </w:r>
    </w:p>
    <w:p w14:paraId="720CEFD2" w14:textId="1AA19C0E" w:rsidR="00EA2E8C" w:rsidRDefault="00EA2E8C">
      <w:pPr>
        <w:spacing w:after="200"/>
        <w:rPr>
          <w:rFonts w:ascii="Trebuchet MS" w:eastAsia="Trebuchet MS" w:hAnsi="Trebuchet MS" w:cs="Trebuchet MS"/>
          <w:color w:val="0E101A"/>
        </w:rPr>
      </w:pPr>
    </w:p>
    <w:p w14:paraId="2155383B" w14:textId="61F7949B" w:rsidR="00063435" w:rsidRDefault="00BB3A9C">
      <w:pPr>
        <w:spacing w:after="200"/>
        <w:rPr>
          <w:rFonts w:ascii="Trebuchet MS" w:eastAsia="Trebuchet MS" w:hAnsi="Trebuchet MS" w:cs="Trebuchet MS"/>
          <w:b/>
          <w:color w:val="0E101A"/>
        </w:rPr>
      </w:pPr>
      <w:r>
        <w:rPr>
          <w:rFonts w:ascii="Trebuchet MS" w:eastAsia="Trebuchet MS" w:hAnsi="Trebuchet MS" w:cs="Trebuchet MS"/>
          <w:color w:val="0E101A"/>
        </w:rPr>
        <w:lastRenderedPageBreak/>
        <w:t xml:space="preserve">A </w:t>
      </w:r>
      <w:proofErr w:type="spellStart"/>
      <w:r>
        <w:rPr>
          <w:rFonts w:ascii="Trebuchet MS" w:eastAsia="Trebuchet MS" w:hAnsi="Trebuchet MS" w:cs="Trebuchet MS"/>
          <w:color w:val="0E101A"/>
        </w:rPr>
        <w:t>continuación</w:t>
      </w:r>
      <w:proofErr w:type="spellEnd"/>
      <w:r>
        <w:rPr>
          <w:rFonts w:ascii="Trebuchet MS" w:eastAsia="Trebuchet MS" w:hAnsi="Trebuchet MS" w:cs="Trebuchet MS"/>
          <w:color w:val="0E101A"/>
        </w:rPr>
        <w:t xml:space="preserve">, le </w:t>
      </w:r>
      <w:proofErr w:type="spellStart"/>
      <w:r>
        <w:rPr>
          <w:rFonts w:ascii="Trebuchet MS" w:eastAsia="Trebuchet MS" w:hAnsi="Trebuchet MS" w:cs="Trebuchet MS"/>
          <w:color w:val="0E101A"/>
        </w:rPr>
        <w:t>presentamos</w:t>
      </w:r>
      <w:proofErr w:type="spellEnd"/>
      <w:r>
        <w:rPr>
          <w:rFonts w:ascii="Trebuchet MS" w:eastAsia="Trebuchet MS" w:hAnsi="Trebuchet MS" w:cs="Trebuchet MS"/>
          <w:color w:val="0E101A"/>
        </w:rPr>
        <w:t xml:space="preserve"> la nueva escala de copagos, que entra en vigencia el 1 de enero de 2023. </w:t>
      </w:r>
    </w:p>
    <w:tbl>
      <w:tblPr>
        <w:tblStyle w:val="a"/>
        <w:tblW w:w="6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60"/>
        <w:gridCol w:w="3260"/>
      </w:tblGrid>
      <w:tr w:rsidR="00063435" w14:paraId="043E9459" w14:textId="77777777" w:rsidTr="005A25CE">
        <w:trPr>
          <w:tblHeader/>
          <w:jc w:val="center"/>
        </w:trPr>
        <w:tc>
          <w:tcPr>
            <w:tcW w:w="3260" w:type="dxa"/>
            <w:shd w:val="clear" w:color="auto" w:fill="1F497D" w:themeFill="text2"/>
            <w:tcMar>
              <w:top w:w="100" w:type="dxa"/>
              <w:left w:w="100" w:type="dxa"/>
              <w:bottom w:w="100" w:type="dxa"/>
              <w:right w:w="100" w:type="dxa"/>
            </w:tcMar>
          </w:tcPr>
          <w:p w14:paraId="5D5AF929" w14:textId="77777777" w:rsidR="00063435" w:rsidRDefault="00BB3A9C">
            <w:pPr>
              <w:widowControl w:val="0"/>
              <w:spacing w:line="240" w:lineRule="auto"/>
              <w:jc w:val="center"/>
              <w:rPr>
                <w:rFonts w:ascii="Trebuchet MS" w:eastAsia="Trebuchet MS" w:hAnsi="Trebuchet MS" w:cs="Trebuchet MS"/>
                <w:b/>
                <w:i/>
                <w:color w:val="FFFFFF"/>
              </w:rPr>
            </w:pPr>
            <w:r>
              <w:rPr>
                <w:rFonts w:ascii="Trebuchet MS" w:eastAsia="Trebuchet MS" w:hAnsi="Trebuchet MS" w:cs="Trebuchet MS"/>
                <w:b/>
                <w:i/>
                <w:color w:val="FFFFFF"/>
              </w:rPr>
              <w:t xml:space="preserve">Umbral de ingresos </w:t>
            </w:r>
          </w:p>
        </w:tc>
        <w:tc>
          <w:tcPr>
            <w:tcW w:w="3260" w:type="dxa"/>
            <w:shd w:val="clear" w:color="auto" w:fill="1F497D" w:themeFill="text2"/>
            <w:tcMar>
              <w:top w:w="100" w:type="dxa"/>
              <w:left w:w="100" w:type="dxa"/>
              <w:bottom w:w="100" w:type="dxa"/>
              <w:right w:w="100" w:type="dxa"/>
            </w:tcMar>
          </w:tcPr>
          <w:p w14:paraId="06158FE9" w14:textId="77777777" w:rsidR="00063435" w:rsidRDefault="00BB3A9C">
            <w:pPr>
              <w:widowControl w:val="0"/>
              <w:spacing w:line="240" w:lineRule="auto"/>
              <w:jc w:val="center"/>
              <w:rPr>
                <w:rFonts w:ascii="Trebuchet MS" w:eastAsia="Trebuchet MS" w:hAnsi="Trebuchet MS" w:cs="Trebuchet MS"/>
                <w:b/>
                <w:i/>
                <w:color w:val="FFFFFF"/>
              </w:rPr>
            </w:pPr>
            <w:r>
              <w:rPr>
                <w:rFonts w:ascii="Trebuchet MS" w:eastAsia="Trebuchet MS" w:hAnsi="Trebuchet MS" w:cs="Trebuchet MS"/>
                <w:b/>
                <w:i/>
                <w:color w:val="FFFFFF"/>
              </w:rPr>
              <w:t>Cuota mensual por niño</w:t>
            </w:r>
          </w:p>
        </w:tc>
      </w:tr>
      <w:tr w:rsidR="00063435" w14:paraId="6B24C1EC" w14:textId="77777777" w:rsidTr="00F318E9">
        <w:trPr>
          <w:jc w:val="center"/>
        </w:trPr>
        <w:tc>
          <w:tcPr>
            <w:tcW w:w="3260" w:type="dxa"/>
            <w:shd w:val="clear" w:color="auto" w:fill="auto"/>
            <w:tcMar>
              <w:top w:w="100" w:type="dxa"/>
              <w:left w:w="100" w:type="dxa"/>
              <w:bottom w:w="100" w:type="dxa"/>
              <w:right w:w="100" w:type="dxa"/>
            </w:tcMar>
          </w:tcPr>
          <w:p w14:paraId="6FCDBE5F"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0-100 % FPG</w:t>
            </w:r>
          </w:p>
        </w:tc>
        <w:tc>
          <w:tcPr>
            <w:tcW w:w="3260" w:type="dxa"/>
            <w:shd w:val="clear" w:color="auto" w:fill="auto"/>
            <w:tcMar>
              <w:top w:w="100" w:type="dxa"/>
              <w:left w:w="100" w:type="dxa"/>
              <w:bottom w:w="100" w:type="dxa"/>
              <w:right w:w="100" w:type="dxa"/>
            </w:tcMar>
          </w:tcPr>
          <w:p w14:paraId="430D2A83"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$0</w:t>
            </w:r>
          </w:p>
        </w:tc>
      </w:tr>
      <w:tr w:rsidR="00063435" w14:paraId="31756ABB" w14:textId="77777777" w:rsidTr="00F318E9">
        <w:trPr>
          <w:jc w:val="center"/>
        </w:trPr>
        <w:tc>
          <w:tcPr>
            <w:tcW w:w="3260" w:type="dxa"/>
            <w:shd w:val="clear" w:color="auto" w:fill="auto"/>
            <w:tcMar>
              <w:top w:w="100" w:type="dxa"/>
              <w:left w:w="100" w:type="dxa"/>
              <w:bottom w:w="100" w:type="dxa"/>
              <w:right w:w="100" w:type="dxa"/>
            </w:tcMar>
          </w:tcPr>
          <w:p w14:paraId="7C306EDF"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101-200 % FPG</w:t>
            </w:r>
          </w:p>
        </w:tc>
        <w:tc>
          <w:tcPr>
            <w:tcW w:w="3260" w:type="dxa"/>
            <w:shd w:val="clear" w:color="auto" w:fill="auto"/>
            <w:tcMar>
              <w:top w:w="100" w:type="dxa"/>
              <w:left w:w="100" w:type="dxa"/>
              <w:bottom w:w="100" w:type="dxa"/>
              <w:right w:w="100" w:type="dxa"/>
            </w:tcMar>
          </w:tcPr>
          <w:p w14:paraId="691A4FD4"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$60</w:t>
            </w:r>
          </w:p>
        </w:tc>
      </w:tr>
      <w:tr w:rsidR="00063435" w14:paraId="77E3F032" w14:textId="77777777" w:rsidTr="00F318E9">
        <w:trPr>
          <w:jc w:val="center"/>
        </w:trPr>
        <w:tc>
          <w:tcPr>
            <w:tcW w:w="3260" w:type="dxa"/>
            <w:shd w:val="clear" w:color="auto" w:fill="auto"/>
            <w:tcMar>
              <w:top w:w="100" w:type="dxa"/>
              <w:left w:w="100" w:type="dxa"/>
              <w:bottom w:w="100" w:type="dxa"/>
              <w:right w:w="100" w:type="dxa"/>
            </w:tcMar>
          </w:tcPr>
          <w:p w14:paraId="008C654C"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201-300 % FPG</w:t>
            </w:r>
          </w:p>
        </w:tc>
        <w:tc>
          <w:tcPr>
            <w:tcW w:w="3260" w:type="dxa"/>
            <w:shd w:val="clear" w:color="auto" w:fill="auto"/>
            <w:tcMar>
              <w:top w:w="100" w:type="dxa"/>
              <w:left w:w="100" w:type="dxa"/>
              <w:bottom w:w="100" w:type="dxa"/>
              <w:right w:w="100" w:type="dxa"/>
            </w:tcMar>
          </w:tcPr>
          <w:p w14:paraId="2516D486"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$120</w:t>
            </w:r>
          </w:p>
        </w:tc>
      </w:tr>
      <w:tr w:rsidR="00063435" w14:paraId="1BB6F803" w14:textId="77777777" w:rsidTr="00F318E9">
        <w:trPr>
          <w:jc w:val="center"/>
        </w:trPr>
        <w:tc>
          <w:tcPr>
            <w:tcW w:w="3260" w:type="dxa"/>
            <w:shd w:val="clear" w:color="auto" w:fill="auto"/>
            <w:tcMar>
              <w:top w:w="100" w:type="dxa"/>
              <w:left w:w="100" w:type="dxa"/>
              <w:bottom w:w="100" w:type="dxa"/>
              <w:right w:w="100" w:type="dxa"/>
            </w:tcMar>
          </w:tcPr>
          <w:p w14:paraId="7E82997F"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301 % FPG- 85 % SMI</w:t>
            </w:r>
          </w:p>
        </w:tc>
        <w:tc>
          <w:tcPr>
            <w:tcW w:w="3260" w:type="dxa"/>
            <w:shd w:val="clear" w:color="auto" w:fill="auto"/>
            <w:tcMar>
              <w:top w:w="100" w:type="dxa"/>
              <w:left w:w="100" w:type="dxa"/>
              <w:bottom w:w="100" w:type="dxa"/>
              <w:right w:w="100" w:type="dxa"/>
            </w:tcMar>
          </w:tcPr>
          <w:p w14:paraId="734791F2" w14:textId="77777777" w:rsidR="00063435" w:rsidRDefault="00BB3A9C">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$180</w:t>
            </w:r>
          </w:p>
        </w:tc>
      </w:tr>
    </w:tbl>
    <w:p w14:paraId="555551BF" w14:textId="77777777" w:rsidR="00063435" w:rsidRDefault="00063435">
      <w:pPr>
        <w:rPr>
          <w:rFonts w:ascii="Trebuchet MS" w:eastAsia="Trebuchet MS" w:hAnsi="Trebuchet MS" w:cs="Trebuchet MS"/>
          <w:color w:val="0E101A"/>
        </w:rPr>
      </w:pPr>
    </w:p>
    <w:p w14:paraId="452DF13D" w14:textId="77777777" w:rsidR="00063435" w:rsidRDefault="00BB3A9C">
      <w:pPr>
        <w:rPr>
          <w:rFonts w:ascii="Trebuchet MS" w:eastAsia="Trebuchet MS" w:hAnsi="Trebuchet MS" w:cs="Trebuchet MS"/>
          <w:color w:val="0E101A"/>
        </w:rPr>
      </w:pPr>
      <w:r>
        <w:rPr>
          <w:rFonts w:ascii="Trebuchet MS" w:eastAsia="Trebuchet MS" w:hAnsi="Trebuchet MS" w:cs="Trebuchet MS"/>
          <w:color w:val="0E101A"/>
        </w:rPr>
        <w:t xml:space="preserve">Recordatorio: las familias seguirán teniendo sus copagos cubiertos hasta el 31 de diciembre de 2022. </w:t>
      </w:r>
    </w:p>
    <w:p w14:paraId="0E8C9DBC" w14:textId="77777777" w:rsidR="00063435" w:rsidRDefault="00063435">
      <w:pPr>
        <w:rPr>
          <w:rFonts w:ascii="Trebuchet MS" w:eastAsia="Trebuchet MS" w:hAnsi="Trebuchet MS" w:cs="Trebuchet MS"/>
          <w:color w:val="0E101A"/>
        </w:rPr>
      </w:pPr>
    </w:p>
    <w:p w14:paraId="438BF057" w14:textId="1B865A52" w:rsidR="00063435" w:rsidRDefault="00BB3A9C">
      <w:pPr>
        <w:rPr>
          <w:rFonts w:ascii="Trebuchet MS" w:eastAsia="Trebuchet MS" w:hAnsi="Trebuchet MS" w:cs="Trebuchet MS"/>
          <w:color w:val="0E101A"/>
        </w:rPr>
      </w:pPr>
      <w:r>
        <w:rPr>
          <w:rFonts w:ascii="Trebuchet MS" w:eastAsia="Trebuchet MS" w:hAnsi="Trebuchet MS" w:cs="Trebuchet MS"/>
          <w:color w:val="0E101A"/>
        </w:rPr>
        <w:t xml:space="preserve">Todas las políticas del Programa, incluidas las Tasas máximas de reembolso para los proveedores y las vacaciones/ausencias pagadas adicionales del proveedor, los copagos familiares y los criterios familiares para la elegibilidad en el Programa, se </w:t>
      </w:r>
      <w:proofErr w:type="spellStart"/>
      <w:r>
        <w:rPr>
          <w:rFonts w:ascii="Trebuchet MS" w:eastAsia="Trebuchet MS" w:hAnsi="Trebuchet MS" w:cs="Trebuchet MS"/>
          <w:color w:val="0E101A"/>
        </w:rPr>
        <w:t>definen</w:t>
      </w:r>
      <w:proofErr w:type="spellEnd"/>
      <w:r>
        <w:rPr>
          <w:rFonts w:ascii="Trebuchet MS" w:eastAsia="Trebuchet MS" w:hAnsi="Trebuchet MS" w:cs="Trebuchet MS"/>
          <w:color w:val="0E101A"/>
        </w:rPr>
        <w:t xml:space="preserve"> </w:t>
      </w:r>
      <w:proofErr w:type="spellStart"/>
      <w:r>
        <w:rPr>
          <w:rFonts w:ascii="Trebuchet MS" w:eastAsia="Trebuchet MS" w:hAnsi="Trebuchet MS" w:cs="Trebuchet MS"/>
          <w:color w:val="0E101A"/>
        </w:rPr>
        <w:t>en</w:t>
      </w:r>
      <w:proofErr w:type="spellEnd"/>
      <w:r>
        <w:rPr>
          <w:rFonts w:ascii="Trebuchet MS" w:eastAsia="Trebuchet MS" w:hAnsi="Trebuchet MS" w:cs="Trebuchet MS"/>
          <w:color w:val="0E101A"/>
        </w:rPr>
        <w:t xml:space="preserve"> </w:t>
      </w:r>
      <w:proofErr w:type="spellStart"/>
      <w:r>
        <w:rPr>
          <w:rFonts w:ascii="Trebuchet MS" w:eastAsia="Trebuchet MS" w:hAnsi="Trebuchet MS" w:cs="Trebuchet MS"/>
          <w:color w:val="0E101A"/>
        </w:rPr>
        <w:t>el</w:t>
      </w:r>
      <w:proofErr w:type="spellEnd"/>
      <w:r>
        <w:rPr>
          <w:rFonts w:ascii="Trebuchet MS" w:eastAsia="Trebuchet MS" w:hAnsi="Trebuchet MS" w:cs="Trebuchet MS"/>
          <w:color w:val="0E101A"/>
        </w:rPr>
        <w:t xml:space="preserve"> manual del </w:t>
      </w:r>
      <w:hyperlink r:id="rId13">
        <w:proofErr w:type="spellStart"/>
        <w:r>
          <w:rPr>
            <w:rFonts w:ascii="Trebuchet MS" w:eastAsia="Trebuchet MS" w:hAnsi="Trebuchet MS" w:cs="Trebuchet MS"/>
            <w:color w:val="1155CC"/>
            <w:u w:val="single"/>
          </w:rPr>
          <w:t>Programa</w:t>
        </w:r>
        <w:proofErr w:type="spellEnd"/>
        <w:r>
          <w:rPr>
            <w:rFonts w:ascii="Trebuchet MS" w:eastAsia="Trebuchet MS" w:hAnsi="Trebuchet MS" w:cs="Trebuchet MS"/>
            <w:color w:val="1155CC"/>
            <w:u w:val="single"/>
          </w:rPr>
          <w:t xml:space="preserve"> de </w:t>
        </w:r>
        <w:proofErr w:type="spellStart"/>
        <w:r>
          <w:rPr>
            <w:rFonts w:ascii="Trebuchet MS" w:eastAsia="Trebuchet MS" w:hAnsi="Trebuchet MS" w:cs="Trebuchet MS"/>
            <w:color w:val="1155CC"/>
            <w:u w:val="single"/>
          </w:rPr>
          <w:t>Subsidio</w:t>
        </w:r>
        <w:proofErr w:type="spellEnd"/>
        <w:r>
          <w:rPr>
            <w:rFonts w:ascii="Trebuchet MS" w:eastAsia="Trebuchet MS" w:hAnsi="Trebuchet MS" w:cs="Trebuchet MS"/>
            <w:color w:val="1155CC"/>
            <w:u w:val="single"/>
          </w:rPr>
          <w:t xml:space="preserve"> de </w:t>
        </w:r>
        <w:proofErr w:type="spellStart"/>
        <w:r>
          <w:rPr>
            <w:rFonts w:ascii="Trebuchet MS" w:eastAsia="Trebuchet MS" w:hAnsi="Trebuchet MS" w:cs="Trebuchet MS"/>
            <w:color w:val="1155CC"/>
            <w:u w:val="single"/>
          </w:rPr>
          <w:t>Cuidado</w:t>
        </w:r>
        <w:proofErr w:type="spellEnd"/>
        <w:r>
          <w:rPr>
            <w:rFonts w:ascii="Trebuchet MS" w:eastAsia="Trebuchet MS" w:hAnsi="Trebuchet MS" w:cs="Trebuchet MS"/>
            <w:color w:val="1155CC"/>
            <w:u w:val="single"/>
          </w:rPr>
          <w:t xml:space="preserve"> </w:t>
        </w:r>
        <w:proofErr w:type="spellStart"/>
        <w:r>
          <w:rPr>
            <w:rFonts w:ascii="Trebuchet MS" w:eastAsia="Trebuchet MS" w:hAnsi="Trebuchet MS" w:cs="Trebuchet MS"/>
            <w:color w:val="1155CC"/>
            <w:u w:val="single"/>
          </w:rPr>
          <w:t>Infantil</w:t>
        </w:r>
        <w:proofErr w:type="spellEnd"/>
      </w:hyperlink>
      <w:r>
        <w:rPr>
          <w:rFonts w:ascii="Trebuchet MS" w:eastAsia="Trebuchet MS" w:hAnsi="Trebuchet MS" w:cs="Trebuchet MS"/>
          <w:color w:val="0F150D"/>
        </w:rPr>
        <w:t>.</w:t>
      </w:r>
    </w:p>
    <w:p w14:paraId="350A454B" w14:textId="77777777" w:rsidR="00063435" w:rsidRDefault="00063435"/>
    <w:sectPr w:rsidR="00063435" w:rsidSect="00F318E9">
      <w:type w:val="continuous"/>
      <w:pgSz w:w="12240" w:h="15840"/>
      <w:pgMar w:top="1431"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15B2" w14:textId="77777777" w:rsidR="00F46427" w:rsidRDefault="00F46427">
      <w:pPr>
        <w:spacing w:line="240" w:lineRule="auto"/>
      </w:pPr>
      <w:r>
        <w:separator/>
      </w:r>
    </w:p>
  </w:endnote>
  <w:endnote w:type="continuationSeparator" w:id="0">
    <w:p w14:paraId="1A140C2A" w14:textId="77777777" w:rsidR="00F46427" w:rsidRDefault="00F46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D7FA" w14:textId="77777777" w:rsidR="00F46427" w:rsidRDefault="00F46427">
      <w:pPr>
        <w:spacing w:line="240" w:lineRule="auto"/>
      </w:pPr>
      <w:r>
        <w:separator/>
      </w:r>
    </w:p>
  </w:footnote>
  <w:footnote w:type="continuationSeparator" w:id="0">
    <w:p w14:paraId="45569C53" w14:textId="77777777" w:rsidR="00F46427" w:rsidRDefault="00F46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C280" w14:textId="77777777" w:rsidR="00063435" w:rsidRDefault="00063435" w:rsidP="00F318E9">
    <w:pPr>
      <w:spacing w:after="200"/>
    </w:pPr>
    <w:bookmarkStart w:id="0" w:name="_dkapnxxku0aa"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81D"/>
    <w:multiLevelType w:val="multilevel"/>
    <w:tmpl w:val="A434E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7906D7"/>
    <w:multiLevelType w:val="multilevel"/>
    <w:tmpl w:val="518E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A23B37"/>
    <w:multiLevelType w:val="multilevel"/>
    <w:tmpl w:val="E918E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8E300E"/>
    <w:multiLevelType w:val="multilevel"/>
    <w:tmpl w:val="823A7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95691029">
    <w:abstractNumId w:val="3"/>
  </w:num>
  <w:num w:numId="2" w16cid:durableId="314333125">
    <w:abstractNumId w:val="0"/>
  </w:num>
  <w:num w:numId="3" w16cid:durableId="231741870">
    <w:abstractNumId w:val="1"/>
  </w:num>
  <w:num w:numId="4" w16cid:durableId="78080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35"/>
    <w:rsid w:val="0000175F"/>
    <w:rsid w:val="0004568D"/>
    <w:rsid w:val="00063435"/>
    <w:rsid w:val="000B287E"/>
    <w:rsid w:val="003B7A50"/>
    <w:rsid w:val="005A25CE"/>
    <w:rsid w:val="005F4F4E"/>
    <w:rsid w:val="007228DF"/>
    <w:rsid w:val="00BB3A9C"/>
    <w:rsid w:val="00DC4EA3"/>
    <w:rsid w:val="00EA2E8C"/>
    <w:rsid w:val="00F318E9"/>
    <w:rsid w:val="00F464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D288"/>
  <w15:docId w15:val="{657E0AAF-E83C-D144-BE48-4A25E39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E9"/>
    <w:pPr>
      <w:outlineLvl w:val="0"/>
    </w:pPr>
    <w:rPr>
      <w:rFonts w:ascii="Trebuchet MS" w:eastAsia="Trebuchet MS" w:hAnsi="Trebuchet MS" w:cs="Trebuchet MS"/>
      <w:b/>
      <w:color w:val="CC0000"/>
      <w:sz w:val="25"/>
      <w:szCs w:val="25"/>
    </w:rPr>
  </w:style>
  <w:style w:type="paragraph" w:styleId="Heading2">
    <w:name w:val="heading 2"/>
    <w:basedOn w:val="Normal"/>
    <w:next w:val="Normal"/>
    <w:uiPriority w:val="9"/>
    <w:unhideWhenUsed/>
    <w:qFormat/>
    <w:rsid w:val="00F318E9"/>
    <w:pPr>
      <w:widowControl w:val="0"/>
      <w:spacing w:before="240"/>
      <w:outlineLvl w:val="1"/>
    </w:pPr>
    <w:rPr>
      <w:rFonts w:ascii="Trebuchet MS" w:eastAsia="Trebuchet MS" w:hAnsi="Trebuchet MS" w:cs="Trebuchet MS"/>
      <w:b/>
    </w:rPr>
  </w:style>
  <w:style w:type="paragraph" w:styleId="Heading3">
    <w:name w:val="heading 3"/>
    <w:basedOn w:val="Normal"/>
    <w:next w:val="Normal"/>
    <w:uiPriority w:val="9"/>
    <w:unhideWhenUsed/>
    <w:qFormat/>
    <w:rsid w:val="00F318E9"/>
    <w:pPr>
      <w:widowControl w:val="0"/>
      <w:outlineLvl w:val="2"/>
    </w:pPr>
    <w:rPr>
      <w:rFonts w:ascii="Trebuchet MS" w:eastAsia="Trebuchet MS" w:hAnsi="Trebuchet MS" w:cs="Trebuchet MS"/>
      <w:color w:val="0E101A"/>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18E9"/>
    <w:pPr>
      <w:tabs>
        <w:tab w:val="center" w:pos="4680"/>
        <w:tab w:val="right" w:pos="9360"/>
      </w:tabs>
      <w:spacing w:line="240" w:lineRule="auto"/>
    </w:pPr>
  </w:style>
  <w:style w:type="character" w:customStyle="1" w:styleId="HeaderChar">
    <w:name w:val="Header Char"/>
    <w:basedOn w:val="DefaultParagraphFont"/>
    <w:link w:val="Header"/>
    <w:uiPriority w:val="99"/>
    <w:rsid w:val="00F318E9"/>
  </w:style>
  <w:style w:type="paragraph" w:styleId="Footer">
    <w:name w:val="footer"/>
    <w:basedOn w:val="Normal"/>
    <w:link w:val="FooterChar"/>
    <w:uiPriority w:val="99"/>
    <w:unhideWhenUsed/>
    <w:rsid w:val="00F318E9"/>
    <w:pPr>
      <w:tabs>
        <w:tab w:val="center" w:pos="4680"/>
        <w:tab w:val="right" w:pos="9360"/>
      </w:tabs>
      <w:spacing w:line="240" w:lineRule="auto"/>
    </w:pPr>
  </w:style>
  <w:style w:type="character" w:customStyle="1" w:styleId="FooterChar">
    <w:name w:val="Footer Char"/>
    <w:basedOn w:val="DefaultParagraphFont"/>
    <w:link w:val="Footer"/>
    <w:uiPriority w:val="99"/>
    <w:rsid w:val="00F3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ildcare.virginia.gov/home/showpublisheddocument/18802/638041091653430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ildcare.virginia.gov/home/showpublisheddocument/18802/6380410916534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carev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e.virginia.gov/teaching-learning-assessment/early-childhood-care-education/quality-measurement-and-improvement-vqb5" TargetMode="External"/><Relationship Id="rId4" Type="http://schemas.openxmlformats.org/officeDocument/2006/relationships/webSettings" Target="webSettings.xml"/><Relationship Id="rId9" Type="http://schemas.openxmlformats.org/officeDocument/2006/relationships/hyperlink" Target="https://www.youtube.com/watch?v=XJzVroKG4K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Alieyyah (DOE)</dc:creator>
  <cp:lastModifiedBy>Lewis, Alieyyah (DOE)</cp:lastModifiedBy>
  <cp:revision>2</cp:revision>
  <cp:lastPrinted>2022-09-23T15:11:00Z</cp:lastPrinted>
  <dcterms:created xsi:type="dcterms:W3CDTF">2023-11-16T14:15:00Z</dcterms:created>
  <dcterms:modified xsi:type="dcterms:W3CDTF">2023-11-16T14:15:00Z</dcterms:modified>
</cp:coreProperties>
</file>