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118" w:rsidRPr="00D65CC2" w:rsidRDefault="00CB2118" w:rsidP="00CB2118">
      <w:pPr>
        <w:shd w:val="clear" w:color="auto" w:fill="DEEAF6" w:themeFill="accent1" w:themeFillTint="33"/>
        <w:spacing w:after="0" w:line="240" w:lineRule="auto"/>
        <w:jc w:val="center"/>
        <w:rPr>
          <w:rFonts w:ascii="Tw Cen MT" w:hAnsi="Tw Cen MT"/>
          <w:b/>
          <w:bCs/>
          <w:szCs w:val="21"/>
        </w:rPr>
      </w:pPr>
      <w:r w:rsidRPr="00D65CC2">
        <w:rPr>
          <w:rFonts w:ascii="Tw Cen MT" w:hAnsi="Tw Cen MT"/>
          <w:b/>
          <w:bCs/>
          <w:szCs w:val="21"/>
        </w:rPr>
        <w:t>Three Groupings of Strategies</w:t>
      </w:r>
    </w:p>
    <w:p w:rsidR="00CB2118" w:rsidRPr="00CB2118" w:rsidRDefault="00CB2118" w:rsidP="00CB2118">
      <w:pPr>
        <w:spacing w:after="0" w:line="240" w:lineRule="auto"/>
        <w:rPr>
          <w:rFonts w:ascii="Tw Cen MT" w:hAnsi="Tw Cen MT"/>
          <w:b/>
          <w:bCs/>
          <w:sz w:val="8"/>
        </w:rPr>
      </w:pPr>
    </w:p>
    <w:p w:rsidR="00CB2118" w:rsidRPr="00CB2118" w:rsidRDefault="00CB2118" w:rsidP="00CB2118">
      <w:pPr>
        <w:spacing w:after="0" w:line="240" w:lineRule="auto"/>
        <w:rPr>
          <w:rFonts w:ascii="Tw Cen MT" w:hAnsi="Tw Cen MT"/>
        </w:rPr>
      </w:pPr>
      <w:r w:rsidRPr="00CB2118">
        <w:rPr>
          <w:rFonts w:ascii="Tw Cen MT" w:hAnsi="Tw Cen MT"/>
          <w:b/>
          <w:bCs/>
        </w:rPr>
        <w:t>Level A</w:t>
      </w:r>
    </w:p>
    <w:p w:rsidR="00CB2118" w:rsidRPr="00CB2118" w:rsidRDefault="00CB2118" w:rsidP="00CB2118">
      <w:pPr>
        <w:pStyle w:val="ListParagraph"/>
        <w:numPr>
          <w:ilvl w:val="0"/>
          <w:numId w:val="3"/>
        </w:numPr>
        <w:spacing w:after="0" w:line="240" w:lineRule="auto"/>
        <w:rPr>
          <w:rFonts w:ascii="Tw Cen MT" w:hAnsi="Tw Cen MT"/>
        </w:rPr>
      </w:pPr>
      <w:r w:rsidRPr="00CB2118">
        <w:rPr>
          <w:rFonts w:ascii="Tw Cen MT" w:hAnsi="Tw Cen MT"/>
        </w:rPr>
        <w:t>Entice more licensed providers to join subsidy</w:t>
      </w:r>
    </w:p>
    <w:p w:rsidR="00CB2118" w:rsidRPr="00CB2118" w:rsidRDefault="00CB2118" w:rsidP="00CB2118">
      <w:pPr>
        <w:pStyle w:val="ListParagraph"/>
        <w:numPr>
          <w:ilvl w:val="0"/>
          <w:numId w:val="3"/>
        </w:numPr>
        <w:spacing w:after="0" w:line="240" w:lineRule="auto"/>
        <w:rPr>
          <w:rFonts w:ascii="Tw Cen MT" w:hAnsi="Tw Cen MT"/>
        </w:rPr>
      </w:pPr>
      <w:r w:rsidRPr="00CB2118">
        <w:rPr>
          <w:rFonts w:ascii="Tw Cen MT" w:hAnsi="Tw Cen MT"/>
        </w:rPr>
        <w:t>Entice V</w:t>
      </w:r>
      <w:r>
        <w:rPr>
          <w:rFonts w:ascii="Tw Cen MT" w:hAnsi="Tw Cen MT"/>
        </w:rPr>
        <w:t xml:space="preserve">irginia </w:t>
      </w:r>
      <w:r w:rsidRPr="00CB2118">
        <w:rPr>
          <w:rFonts w:ascii="Tw Cen MT" w:hAnsi="Tw Cen MT"/>
        </w:rPr>
        <w:t>Q</w:t>
      </w:r>
      <w:r>
        <w:rPr>
          <w:rFonts w:ascii="Tw Cen MT" w:hAnsi="Tw Cen MT"/>
        </w:rPr>
        <w:t>uality</w:t>
      </w:r>
      <w:r w:rsidRPr="00CB2118">
        <w:rPr>
          <w:rFonts w:ascii="Tw Cen MT" w:hAnsi="Tw Cen MT"/>
        </w:rPr>
        <w:t xml:space="preserve"> provi</w:t>
      </w:r>
      <w:r>
        <w:rPr>
          <w:rFonts w:ascii="Tw Cen MT" w:hAnsi="Tw Cen MT"/>
        </w:rPr>
        <w:t>ders to become subsidy vendors</w:t>
      </w:r>
    </w:p>
    <w:p w:rsidR="00CB2118" w:rsidRPr="00CB2118" w:rsidRDefault="00CB2118" w:rsidP="00CB2118">
      <w:pPr>
        <w:pStyle w:val="ListParagraph"/>
        <w:numPr>
          <w:ilvl w:val="0"/>
          <w:numId w:val="3"/>
        </w:numPr>
        <w:spacing w:after="0" w:line="240" w:lineRule="auto"/>
        <w:rPr>
          <w:rFonts w:ascii="Tw Cen MT" w:hAnsi="Tw Cen MT"/>
        </w:rPr>
      </w:pPr>
      <w:r w:rsidRPr="00CB2118">
        <w:rPr>
          <w:rFonts w:ascii="Tw Cen MT" w:hAnsi="Tw Cen MT"/>
        </w:rPr>
        <w:t>Entice R</w:t>
      </w:r>
      <w:r>
        <w:rPr>
          <w:rFonts w:ascii="Tw Cen MT" w:hAnsi="Tw Cen MT"/>
        </w:rPr>
        <w:t xml:space="preserve">eligiously </w:t>
      </w:r>
      <w:r w:rsidRPr="00CB2118">
        <w:rPr>
          <w:rFonts w:ascii="Tw Cen MT" w:hAnsi="Tw Cen MT"/>
        </w:rPr>
        <w:t>E</w:t>
      </w:r>
      <w:r>
        <w:rPr>
          <w:rFonts w:ascii="Tw Cen MT" w:hAnsi="Tw Cen MT"/>
        </w:rPr>
        <w:t>xempt providers to become subsidy vendors</w:t>
      </w:r>
    </w:p>
    <w:p w:rsidR="00CB2118" w:rsidRPr="00CB2118" w:rsidRDefault="00CB2118" w:rsidP="00CB2118">
      <w:pPr>
        <w:spacing w:after="0" w:line="240" w:lineRule="auto"/>
        <w:rPr>
          <w:rFonts w:ascii="Tw Cen MT" w:hAnsi="Tw Cen MT"/>
        </w:rPr>
      </w:pPr>
      <w:r w:rsidRPr="00CB2118">
        <w:rPr>
          <w:rFonts w:ascii="Tw Cen MT" w:hAnsi="Tw Cen MT"/>
          <w:b/>
          <w:bCs/>
        </w:rPr>
        <w:t>Level B</w:t>
      </w:r>
    </w:p>
    <w:p w:rsidR="00CB2118" w:rsidRPr="00CB2118" w:rsidRDefault="00CB2118" w:rsidP="00CB2118">
      <w:pPr>
        <w:pStyle w:val="ListParagraph"/>
        <w:numPr>
          <w:ilvl w:val="0"/>
          <w:numId w:val="4"/>
        </w:numPr>
        <w:spacing w:after="0" w:line="240" w:lineRule="auto"/>
        <w:rPr>
          <w:rFonts w:ascii="Tw Cen MT" w:hAnsi="Tw Cen MT"/>
        </w:rPr>
      </w:pPr>
      <w:r w:rsidRPr="00CB2118">
        <w:rPr>
          <w:rFonts w:ascii="Tw Cen MT" w:hAnsi="Tw Cen MT"/>
        </w:rPr>
        <w:t>Assist existing vendors to increase number of slots (serve more infants, etc.)</w:t>
      </w:r>
    </w:p>
    <w:p w:rsidR="00CB2118" w:rsidRPr="00CB2118" w:rsidRDefault="00CB2118" w:rsidP="00CB2118">
      <w:pPr>
        <w:spacing w:after="0" w:line="240" w:lineRule="auto"/>
        <w:rPr>
          <w:rFonts w:ascii="Tw Cen MT" w:hAnsi="Tw Cen MT"/>
        </w:rPr>
      </w:pPr>
      <w:r w:rsidRPr="00CB2118">
        <w:rPr>
          <w:rFonts w:ascii="Tw Cen MT" w:hAnsi="Tw Cen MT"/>
          <w:b/>
          <w:bCs/>
        </w:rPr>
        <w:t>Level C</w:t>
      </w:r>
    </w:p>
    <w:p w:rsidR="00CB2118" w:rsidRDefault="00CB2118" w:rsidP="00CB2118">
      <w:pPr>
        <w:pStyle w:val="ListParagraph"/>
        <w:numPr>
          <w:ilvl w:val="0"/>
          <w:numId w:val="4"/>
        </w:numPr>
        <w:spacing w:after="0" w:line="240" w:lineRule="auto"/>
        <w:rPr>
          <w:rFonts w:ascii="Tw Cen MT" w:hAnsi="Tw Cen MT"/>
        </w:rPr>
      </w:pPr>
      <w:r w:rsidRPr="00CB2118">
        <w:rPr>
          <w:rFonts w:ascii="Tw Cen MT" w:hAnsi="Tw Cen MT"/>
        </w:rPr>
        <w:t>Incentivize/support new providers to enter the market</w:t>
      </w:r>
    </w:p>
    <w:p w:rsidR="00CB2118" w:rsidRDefault="00CB2118" w:rsidP="00CB2118">
      <w:pPr>
        <w:spacing w:after="0" w:line="240" w:lineRule="auto"/>
        <w:rPr>
          <w:rFonts w:ascii="Tw Cen MT" w:hAnsi="Tw Cen MT"/>
        </w:rPr>
      </w:pPr>
    </w:p>
    <w:p w:rsidR="00495F5D" w:rsidRDefault="00495F5D" w:rsidP="00CB2118">
      <w:pPr>
        <w:shd w:val="clear" w:color="auto" w:fill="DEEAF6" w:themeFill="accent1" w:themeFillTint="33"/>
        <w:spacing w:after="0" w:line="240" w:lineRule="auto"/>
        <w:jc w:val="center"/>
        <w:rPr>
          <w:rFonts w:ascii="Tw Cen MT" w:hAnsi="Tw Cen MT"/>
          <w:b/>
          <w:szCs w:val="21"/>
        </w:rPr>
      </w:pPr>
      <w:r>
        <w:rPr>
          <w:rFonts w:ascii="Tw Cen MT" w:hAnsi="Tw Cen MT"/>
          <w:b/>
          <w:szCs w:val="21"/>
        </w:rPr>
        <w:t>Please circle and number</w:t>
      </w:r>
      <w:r w:rsidR="00CB2118" w:rsidRPr="00D65CC2">
        <w:rPr>
          <w:rFonts w:ascii="Tw Cen MT" w:hAnsi="Tw Cen MT"/>
          <w:b/>
          <w:szCs w:val="21"/>
        </w:rPr>
        <w:t xml:space="preserve"> the top five strategies that would be </w:t>
      </w:r>
    </w:p>
    <w:p w:rsidR="00CB2118" w:rsidRPr="00D65CC2" w:rsidRDefault="00CB2118" w:rsidP="00CB2118">
      <w:pPr>
        <w:shd w:val="clear" w:color="auto" w:fill="DEEAF6" w:themeFill="accent1" w:themeFillTint="33"/>
        <w:spacing w:after="0" w:line="240" w:lineRule="auto"/>
        <w:jc w:val="center"/>
        <w:rPr>
          <w:rFonts w:ascii="Tw Cen MT" w:hAnsi="Tw Cen MT"/>
          <w:b/>
          <w:szCs w:val="21"/>
        </w:rPr>
      </w:pPr>
      <w:r w:rsidRPr="00D65CC2">
        <w:rPr>
          <w:rFonts w:ascii="Tw Cen MT" w:hAnsi="Tw Cen MT"/>
          <w:b/>
          <w:szCs w:val="21"/>
        </w:rPr>
        <w:t>most effective to build child care supply in your locality.</w:t>
      </w:r>
    </w:p>
    <w:p w:rsidR="00CB2118" w:rsidRPr="00CB2118" w:rsidRDefault="00CB2118" w:rsidP="00CB2118">
      <w:pPr>
        <w:spacing w:after="0"/>
        <w:rPr>
          <w:rFonts w:ascii="Tw Cen MT" w:hAnsi="Tw Cen MT"/>
        </w:rPr>
      </w:pPr>
    </w:p>
    <w:p w:rsidR="00AE0712" w:rsidRPr="00CB2118" w:rsidRDefault="00974762" w:rsidP="00832606">
      <w:pPr>
        <w:numPr>
          <w:ilvl w:val="0"/>
          <w:numId w:val="1"/>
        </w:numPr>
        <w:tabs>
          <w:tab w:val="clear" w:pos="720"/>
          <w:tab w:val="num" w:pos="360"/>
        </w:tabs>
        <w:spacing w:line="240" w:lineRule="auto"/>
        <w:ind w:left="360"/>
        <w:rPr>
          <w:rFonts w:ascii="Tw Cen MT" w:hAnsi="Tw Cen MT"/>
        </w:rPr>
      </w:pPr>
      <w:r w:rsidRPr="00CB2118">
        <w:rPr>
          <w:rFonts w:ascii="Tw Cen MT" w:hAnsi="Tw Cen MT"/>
        </w:rPr>
        <w:t xml:space="preserve">Adopt </w:t>
      </w:r>
      <w:r w:rsidRPr="00CB2118">
        <w:rPr>
          <w:rFonts w:ascii="Tw Cen MT" w:hAnsi="Tw Cen MT"/>
          <w:b/>
          <w:bCs/>
        </w:rPr>
        <w:t xml:space="preserve">single swipe </w:t>
      </w:r>
      <w:r w:rsidRPr="00CB2118">
        <w:rPr>
          <w:rFonts w:ascii="Tw Cen MT" w:hAnsi="Tw Cen MT"/>
        </w:rPr>
        <w:t xml:space="preserve">to streamline subsidy program attendance transactions  </w:t>
      </w:r>
      <w:r w:rsidRPr="00CB2118">
        <w:rPr>
          <w:rFonts w:ascii="Tw Cen MT" w:hAnsi="Tw Cen MT"/>
          <w:b/>
          <w:bCs/>
        </w:rPr>
        <w:t>A</w:t>
      </w:r>
    </w:p>
    <w:p w:rsidR="00AE0712" w:rsidRPr="00F90341" w:rsidRDefault="00974762" w:rsidP="00832606">
      <w:pPr>
        <w:numPr>
          <w:ilvl w:val="0"/>
          <w:numId w:val="1"/>
        </w:numPr>
        <w:tabs>
          <w:tab w:val="clear" w:pos="720"/>
          <w:tab w:val="num" w:pos="360"/>
        </w:tabs>
        <w:spacing w:line="240" w:lineRule="auto"/>
        <w:ind w:left="360"/>
        <w:rPr>
          <w:rFonts w:ascii="Tw Cen MT" w:hAnsi="Tw Cen MT"/>
        </w:rPr>
      </w:pPr>
      <w:r w:rsidRPr="00F90341">
        <w:rPr>
          <w:rFonts w:ascii="Tw Cen MT" w:hAnsi="Tw Cen MT"/>
        </w:rPr>
        <w:t xml:space="preserve">Provide </w:t>
      </w:r>
      <w:r w:rsidRPr="00F90341">
        <w:rPr>
          <w:rFonts w:ascii="Tw Cen MT" w:hAnsi="Tw Cen MT"/>
          <w:b/>
          <w:bCs/>
        </w:rPr>
        <w:t xml:space="preserve">promotional materials </w:t>
      </w:r>
      <w:r w:rsidRPr="00F90341">
        <w:rPr>
          <w:rFonts w:ascii="Tw Cen MT" w:hAnsi="Tw Cen MT"/>
        </w:rPr>
        <w:t xml:space="preserve">for subsidy program vendor recruitment for use by local departments (signage, postcards, give-aways)  </w:t>
      </w:r>
      <w:r w:rsidRPr="00F90341">
        <w:rPr>
          <w:rFonts w:ascii="Tw Cen MT" w:hAnsi="Tw Cen MT"/>
          <w:b/>
          <w:bCs/>
        </w:rPr>
        <w:t>A</w:t>
      </w:r>
    </w:p>
    <w:p w:rsidR="00AE0712" w:rsidRPr="00F90341" w:rsidRDefault="00974762" w:rsidP="00832606">
      <w:pPr>
        <w:numPr>
          <w:ilvl w:val="0"/>
          <w:numId w:val="1"/>
        </w:numPr>
        <w:tabs>
          <w:tab w:val="clear" w:pos="720"/>
          <w:tab w:val="num" w:pos="360"/>
        </w:tabs>
        <w:spacing w:line="240" w:lineRule="auto"/>
        <w:ind w:left="360"/>
        <w:rPr>
          <w:rFonts w:ascii="Tw Cen MT" w:hAnsi="Tw Cen MT"/>
        </w:rPr>
      </w:pPr>
      <w:r w:rsidRPr="00F90341">
        <w:rPr>
          <w:rFonts w:ascii="Tw Cen MT" w:hAnsi="Tw Cen MT"/>
        </w:rPr>
        <w:t xml:space="preserve">Streamline </w:t>
      </w:r>
      <w:r w:rsidRPr="00F90341">
        <w:rPr>
          <w:rFonts w:ascii="Tw Cen MT" w:hAnsi="Tw Cen MT"/>
          <w:b/>
          <w:bCs/>
        </w:rPr>
        <w:t xml:space="preserve">vendor application </w:t>
      </w:r>
      <w:r w:rsidRPr="00F90341">
        <w:rPr>
          <w:rFonts w:ascii="Tw Cen MT" w:hAnsi="Tw Cen MT"/>
        </w:rPr>
        <w:t xml:space="preserve">and approval process to shorten timeframe and be more user-friendly and efficient  </w:t>
      </w:r>
      <w:r w:rsidRPr="00F90341">
        <w:rPr>
          <w:rFonts w:ascii="Tw Cen MT" w:hAnsi="Tw Cen MT"/>
          <w:b/>
          <w:bCs/>
        </w:rPr>
        <w:t>A</w:t>
      </w:r>
    </w:p>
    <w:p w:rsidR="00AE0712" w:rsidRPr="00F90341" w:rsidRDefault="00974762" w:rsidP="00832606">
      <w:pPr>
        <w:numPr>
          <w:ilvl w:val="0"/>
          <w:numId w:val="1"/>
        </w:numPr>
        <w:tabs>
          <w:tab w:val="clear" w:pos="720"/>
          <w:tab w:val="num" w:pos="360"/>
        </w:tabs>
        <w:spacing w:line="240" w:lineRule="auto"/>
        <w:ind w:left="360"/>
        <w:rPr>
          <w:rFonts w:ascii="Tw Cen MT" w:hAnsi="Tw Cen MT"/>
        </w:rPr>
      </w:pPr>
      <w:r w:rsidRPr="00F90341">
        <w:rPr>
          <w:rFonts w:ascii="Tw Cen MT" w:hAnsi="Tw Cen MT"/>
        </w:rPr>
        <w:t xml:space="preserve">Provide new subsidy </w:t>
      </w:r>
      <w:r w:rsidRPr="00F90341">
        <w:rPr>
          <w:rFonts w:ascii="Tw Cen MT" w:hAnsi="Tw Cen MT"/>
          <w:b/>
          <w:bCs/>
        </w:rPr>
        <w:t xml:space="preserve">vendor orientation </w:t>
      </w:r>
      <w:r w:rsidRPr="00F90341">
        <w:rPr>
          <w:rFonts w:ascii="Tw Cen MT" w:hAnsi="Tw Cen MT"/>
        </w:rPr>
        <w:t xml:space="preserve">more frequently and in different locations; aggressively promote orientation  </w:t>
      </w:r>
      <w:r w:rsidRPr="00F90341">
        <w:rPr>
          <w:rFonts w:ascii="Tw Cen MT" w:hAnsi="Tw Cen MT"/>
          <w:b/>
          <w:bCs/>
        </w:rPr>
        <w:t>A</w:t>
      </w:r>
    </w:p>
    <w:p w:rsidR="00AE0712" w:rsidRPr="00F90341" w:rsidRDefault="00974762" w:rsidP="00832606">
      <w:pPr>
        <w:numPr>
          <w:ilvl w:val="0"/>
          <w:numId w:val="1"/>
        </w:numPr>
        <w:tabs>
          <w:tab w:val="clear" w:pos="720"/>
          <w:tab w:val="num" w:pos="360"/>
        </w:tabs>
        <w:spacing w:line="240" w:lineRule="auto"/>
        <w:ind w:left="360"/>
        <w:rPr>
          <w:rFonts w:ascii="Tw Cen MT" w:hAnsi="Tw Cen MT"/>
        </w:rPr>
      </w:pPr>
      <w:r w:rsidRPr="00F90341">
        <w:rPr>
          <w:rFonts w:ascii="Tw Cen MT" w:hAnsi="Tw Cen MT"/>
        </w:rPr>
        <w:t xml:space="preserve">Amend </w:t>
      </w:r>
      <w:r w:rsidRPr="00F90341">
        <w:rPr>
          <w:rFonts w:ascii="Tw Cen MT" w:hAnsi="Tw Cen MT"/>
          <w:b/>
          <w:bCs/>
        </w:rPr>
        <w:t xml:space="preserve">partner contracts </w:t>
      </w:r>
      <w:r w:rsidRPr="00F90341">
        <w:rPr>
          <w:rFonts w:ascii="Tw Cen MT" w:hAnsi="Tw Cen MT"/>
        </w:rPr>
        <w:t xml:space="preserve">to give clear responsibility for new vendor recruitment </w:t>
      </w:r>
      <w:r w:rsidRPr="00F90341">
        <w:rPr>
          <w:rFonts w:ascii="Tw Cen MT" w:hAnsi="Tw Cen MT"/>
          <w:b/>
          <w:bCs/>
        </w:rPr>
        <w:t>A, B, C</w:t>
      </w:r>
    </w:p>
    <w:p w:rsidR="00AE0712" w:rsidRPr="00F90341" w:rsidRDefault="00974762" w:rsidP="00832606">
      <w:pPr>
        <w:numPr>
          <w:ilvl w:val="0"/>
          <w:numId w:val="1"/>
        </w:numPr>
        <w:tabs>
          <w:tab w:val="clear" w:pos="720"/>
          <w:tab w:val="num" w:pos="360"/>
        </w:tabs>
        <w:spacing w:line="240" w:lineRule="auto"/>
        <w:ind w:left="360"/>
        <w:rPr>
          <w:rFonts w:ascii="Tw Cen MT" w:hAnsi="Tw Cen MT"/>
        </w:rPr>
      </w:pPr>
      <w:r w:rsidRPr="00F90341">
        <w:rPr>
          <w:rFonts w:ascii="Tw Cen MT" w:hAnsi="Tw Cen MT"/>
        </w:rPr>
        <w:t xml:space="preserve">Make access to </w:t>
      </w:r>
      <w:r w:rsidRPr="00F90341">
        <w:rPr>
          <w:rFonts w:ascii="Tw Cen MT" w:hAnsi="Tw Cen MT"/>
          <w:b/>
          <w:bCs/>
        </w:rPr>
        <w:t xml:space="preserve">training/technical assistance </w:t>
      </w:r>
      <w:r w:rsidRPr="00F90341">
        <w:rPr>
          <w:rFonts w:ascii="Tw Cen MT" w:hAnsi="Tw Cen MT"/>
        </w:rPr>
        <w:t xml:space="preserve">easier for all providers  </w:t>
      </w:r>
      <w:r w:rsidRPr="00F90341">
        <w:rPr>
          <w:rFonts w:ascii="Tw Cen MT" w:hAnsi="Tw Cen MT"/>
          <w:b/>
          <w:bCs/>
        </w:rPr>
        <w:t>A, C</w:t>
      </w:r>
    </w:p>
    <w:p w:rsidR="00AE0712" w:rsidRPr="00F90341" w:rsidRDefault="00974762" w:rsidP="00832606">
      <w:pPr>
        <w:numPr>
          <w:ilvl w:val="0"/>
          <w:numId w:val="1"/>
        </w:numPr>
        <w:tabs>
          <w:tab w:val="clear" w:pos="720"/>
          <w:tab w:val="num" w:pos="360"/>
        </w:tabs>
        <w:spacing w:line="240" w:lineRule="auto"/>
        <w:ind w:left="360"/>
        <w:rPr>
          <w:rFonts w:ascii="Tw Cen MT" w:hAnsi="Tw Cen MT"/>
        </w:rPr>
      </w:pPr>
      <w:r w:rsidRPr="00F90341">
        <w:rPr>
          <w:rFonts w:ascii="Tw Cen MT" w:hAnsi="Tw Cen MT"/>
        </w:rPr>
        <w:t xml:space="preserve">Expand </w:t>
      </w:r>
      <w:r w:rsidRPr="00F90341">
        <w:rPr>
          <w:rFonts w:ascii="Tw Cen MT" w:hAnsi="Tw Cen MT"/>
          <w:b/>
          <w:bCs/>
        </w:rPr>
        <w:t xml:space="preserve">regulated child care </w:t>
      </w:r>
      <w:r w:rsidRPr="00F90341">
        <w:rPr>
          <w:rFonts w:ascii="Tw Cen MT" w:hAnsi="Tw Cen MT"/>
        </w:rPr>
        <w:t xml:space="preserve">for underserved areas and target populations  </w:t>
      </w:r>
      <w:r w:rsidRPr="00F90341">
        <w:rPr>
          <w:rFonts w:ascii="Tw Cen MT" w:hAnsi="Tw Cen MT"/>
          <w:b/>
          <w:bCs/>
        </w:rPr>
        <w:t>A</w:t>
      </w:r>
    </w:p>
    <w:p w:rsidR="00AE0712" w:rsidRPr="00F90341" w:rsidRDefault="00974762" w:rsidP="00832606">
      <w:pPr>
        <w:numPr>
          <w:ilvl w:val="0"/>
          <w:numId w:val="1"/>
        </w:numPr>
        <w:tabs>
          <w:tab w:val="clear" w:pos="720"/>
          <w:tab w:val="num" w:pos="360"/>
        </w:tabs>
        <w:spacing w:line="240" w:lineRule="auto"/>
        <w:ind w:left="360"/>
        <w:rPr>
          <w:rFonts w:ascii="Tw Cen MT" w:hAnsi="Tw Cen MT"/>
        </w:rPr>
      </w:pPr>
      <w:r w:rsidRPr="00F90341">
        <w:rPr>
          <w:rFonts w:ascii="Tw Cen MT" w:hAnsi="Tw Cen MT"/>
        </w:rPr>
        <w:t xml:space="preserve">Conduct </w:t>
      </w:r>
      <w:r w:rsidRPr="00F90341">
        <w:rPr>
          <w:rFonts w:ascii="Tw Cen MT" w:hAnsi="Tw Cen MT"/>
          <w:b/>
          <w:bCs/>
        </w:rPr>
        <w:t>recruitment campaign</w:t>
      </w:r>
      <w:r w:rsidRPr="00F90341">
        <w:rPr>
          <w:rFonts w:ascii="Tw Cen MT" w:hAnsi="Tw Cen MT"/>
        </w:rPr>
        <w:t xml:space="preserve"> for licensed family day homes to serve priority needs per locality (care for infants and toddlers, children with special needs, children who are homeless, children in need of care during nontraditional hours) </w:t>
      </w:r>
      <w:r w:rsidRPr="00F90341">
        <w:rPr>
          <w:rFonts w:ascii="Tw Cen MT" w:hAnsi="Tw Cen MT"/>
          <w:b/>
          <w:bCs/>
        </w:rPr>
        <w:t>A, B</w:t>
      </w:r>
    </w:p>
    <w:p w:rsidR="00CB2118" w:rsidRPr="00F90341" w:rsidRDefault="00CB2118" w:rsidP="00832606">
      <w:pPr>
        <w:numPr>
          <w:ilvl w:val="0"/>
          <w:numId w:val="1"/>
        </w:numPr>
        <w:tabs>
          <w:tab w:val="clear" w:pos="720"/>
          <w:tab w:val="num" w:pos="360"/>
        </w:tabs>
        <w:spacing w:line="240" w:lineRule="auto"/>
        <w:ind w:left="360"/>
        <w:rPr>
          <w:rFonts w:ascii="Tw Cen MT" w:hAnsi="Tw Cen MT"/>
        </w:rPr>
      </w:pPr>
      <w:r w:rsidRPr="00F90341">
        <w:rPr>
          <w:rFonts w:ascii="Tw Cen MT" w:hAnsi="Tw Cen MT"/>
        </w:rPr>
        <w:t xml:space="preserve">Offer </w:t>
      </w:r>
      <w:r w:rsidRPr="00F90341">
        <w:rPr>
          <w:rFonts w:ascii="Tw Cen MT" w:hAnsi="Tw Cen MT"/>
          <w:b/>
          <w:bCs/>
        </w:rPr>
        <w:t>micro-grants</w:t>
      </w:r>
      <w:r w:rsidRPr="00F90341">
        <w:rPr>
          <w:rFonts w:ascii="Tw Cen MT" w:hAnsi="Tw Cen MT"/>
        </w:rPr>
        <w:t xml:space="preserve"> to support underserved localities where state data indicate high incidence of CCDF eligible children; sub-consideration should locality provide funds or resource match?   </w:t>
      </w:r>
      <w:r w:rsidRPr="00F90341">
        <w:rPr>
          <w:rFonts w:ascii="Tw Cen MT" w:hAnsi="Tw Cen MT"/>
          <w:b/>
          <w:bCs/>
        </w:rPr>
        <w:t>B, C</w:t>
      </w:r>
      <w:r w:rsidRPr="00F90341">
        <w:rPr>
          <w:rFonts w:ascii="Tw Cen MT" w:hAnsi="Tw Cen MT"/>
        </w:rPr>
        <w:t xml:space="preserve"> </w:t>
      </w:r>
    </w:p>
    <w:p w:rsidR="00CB2118" w:rsidRPr="00F90341" w:rsidRDefault="00CB2118" w:rsidP="00832606">
      <w:pPr>
        <w:spacing w:line="240" w:lineRule="auto"/>
        <w:rPr>
          <w:rFonts w:ascii="Tw Cen MT" w:hAnsi="Tw Cen MT"/>
        </w:rPr>
      </w:pPr>
      <w:r w:rsidRPr="00F90341">
        <w:rPr>
          <w:rFonts w:ascii="Tw Cen MT" w:hAnsi="Tw Cen MT"/>
        </w:rPr>
        <w:t xml:space="preserve">10.  </w:t>
      </w:r>
      <w:r w:rsidRPr="00F90341">
        <w:rPr>
          <w:rFonts w:ascii="Tw Cen MT" w:hAnsi="Tw Cen MT"/>
          <w:b/>
          <w:bCs/>
        </w:rPr>
        <w:t xml:space="preserve">Tiered reimbursement </w:t>
      </w:r>
      <w:r w:rsidRPr="00F90341">
        <w:rPr>
          <w:rFonts w:ascii="Tw Cen MT" w:hAnsi="Tw Cen MT"/>
        </w:rPr>
        <w:t xml:space="preserve">for subsidy vendors participating in VQ    </w:t>
      </w:r>
      <w:r w:rsidRPr="00F90341">
        <w:rPr>
          <w:rFonts w:ascii="Tw Cen MT" w:hAnsi="Tw Cen MT"/>
          <w:b/>
          <w:bCs/>
        </w:rPr>
        <w:t>A</w:t>
      </w:r>
    </w:p>
    <w:p w:rsidR="00CB2118" w:rsidRPr="00F90341" w:rsidRDefault="00CB2118" w:rsidP="00832606">
      <w:pPr>
        <w:spacing w:line="240" w:lineRule="auto"/>
        <w:rPr>
          <w:rFonts w:ascii="Tw Cen MT" w:hAnsi="Tw Cen MT"/>
        </w:rPr>
      </w:pPr>
      <w:r w:rsidRPr="00F90341">
        <w:rPr>
          <w:rFonts w:ascii="Tw Cen MT" w:hAnsi="Tw Cen MT"/>
        </w:rPr>
        <w:t xml:space="preserve">11.  </w:t>
      </w:r>
      <w:r w:rsidRPr="00F90341">
        <w:rPr>
          <w:rFonts w:ascii="Tw Cen MT" w:hAnsi="Tw Cen MT"/>
          <w:b/>
          <w:bCs/>
        </w:rPr>
        <w:t xml:space="preserve">Tiered reimbursement </w:t>
      </w:r>
      <w:r w:rsidRPr="00F90341">
        <w:rPr>
          <w:rFonts w:ascii="Tw Cen MT" w:hAnsi="Tw Cen MT"/>
        </w:rPr>
        <w:t xml:space="preserve">for subsidy providers in underserved areas    </w:t>
      </w:r>
      <w:r w:rsidRPr="00F90341">
        <w:rPr>
          <w:rFonts w:ascii="Tw Cen MT" w:hAnsi="Tw Cen MT"/>
          <w:b/>
          <w:bCs/>
        </w:rPr>
        <w:t>A, B, C</w:t>
      </w:r>
    </w:p>
    <w:p w:rsidR="00CB2118" w:rsidRPr="00F90341" w:rsidRDefault="00CB2118" w:rsidP="00832606">
      <w:pPr>
        <w:spacing w:line="240" w:lineRule="auto"/>
        <w:rPr>
          <w:rFonts w:ascii="Tw Cen MT" w:hAnsi="Tw Cen MT"/>
        </w:rPr>
      </w:pPr>
      <w:r w:rsidRPr="00F90341">
        <w:rPr>
          <w:rFonts w:ascii="Tw Cen MT" w:hAnsi="Tw Cen MT"/>
        </w:rPr>
        <w:t xml:space="preserve">12.  Analyze </w:t>
      </w:r>
      <w:r w:rsidRPr="00F90341">
        <w:rPr>
          <w:rFonts w:ascii="Tw Cen MT" w:hAnsi="Tw Cen MT"/>
          <w:b/>
          <w:bCs/>
        </w:rPr>
        <w:t xml:space="preserve">level 1 &amp; 2 </w:t>
      </w:r>
      <w:r w:rsidRPr="00F90341">
        <w:rPr>
          <w:rFonts w:ascii="Tw Cen MT" w:hAnsi="Tw Cen MT"/>
        </w:rPr>
        <w:t xml:space="preserve">subsidy payment practices to determine whether levels are still valid  </w:t>
      </w:r>
      <w:r w:rsidRPr="00F90341">
        <w:rPr>
          <w:rFonts w:ascii="Tw Cen MT" w:hAnsi="Tw Cen MT"/>
          <w:b/>
          <w:bCs/>
        </w:rPr>
        <w:t>A</w:t>
      </w:r>
    </w:p>
    <w:p w:rsidR="00CB2118" w:rsidRPr="00CB2118" w:rsidRDefault="00CB2118" w:rsidP="00832606">
      <w:pPr>
        <w:spacing w:line="240" w:lineRule="auto"/>
        <w:rPr>
          <w:rFonts w:ascii="Tw Cen MT" w:hAnsi="Tw Cen MT"/>
        </w:rPr>
      </w:pPr>
      <w:r w:rsidRPr="00F90341">
        <w:rPr>
          <w:rFonts w:ascii="Tw Cen MT" w:hAnsi="Tw Cen MT"/>
        </w:rPr>
        <w:t>13</w:t>
      </w:r>
      <w:r w:rsidRPr="00F90341">
        <w:rPr>
          <w:rFonts w:ascii="Tw Cen MT" w:hAnsi="Tw Cen MT"/>
          <w:b/>
          <w:bCs/>
        </w:rPr>
        <w:t xml:space="preserve">.  0% interest loans </w:t>
      </w:r>
      <w:r w:rsidRPr="00F90341">
        <w:rPr>
          <w:rFonts w:ascii="Tw Cen MT" w:hAnsi="Tw Cen MT"/>
        </w:rPr>
        <w:t>for child care programs in designated underserved localities and allowing star</w:t>
      </w:r>
      <w:r w:rsidRPr="00CB2118">
        <w:rPr>
          <w:rFonts w:ascii="Tw Cen MT" w:hAnsi="Tw Cen MT"/>
        </w:rPr>
        <w:t xml:space="preserve">t-ups meeting certain criteria to be approved for loans </w:t>
      </w:r>
      <w:r w:rsidR="00D65CC2">
        <w:rPr>
          <w:rFonts w:ascii="Tw Cen MT" w:hAnsi="Tw Cen MT"/>
        </w:rPr>
        <w:t xml:space="preserve">  </w:t>
      </w:r>
      <w:r w:rsidRPr="00CB2118">
        <w:rPr>
          <w:rFonts w:ascii="Tw Cen MT" w:hAnsi="Tw Cen MT"/>
          <w:b/>
          <w:bCs/>
        </w:rPr>
        <w:t>B, C</w:t>
      </w:r>
    </w:p>
    <w:p w:rsidR="00CB2118" w:rsidRPr="00CB2118" w:rsidRDefault="00CB2118" w:rsidP="00832606">
      <w:pPr>
        <w:spacing w:line="240" w:lineRule="auto"/>
        <w:rPr>
          <w:rFonts w:ascii="Tw Cen MT" w:hAnsi="Tw Cen MT"/>
        </w:rPr>
      </w:pPr>
      <w:r w:rsidRPr="00CB2118">
        <w:rPr>
          <w:rFonts w:ascii="Tw Cen MT" w:hAnsi="Tw Cen MT"/>
        </w:rPr>
        <w:t xml:space="preserve">14.  Establish </w:t>
      </w:r>
      <w:r w:rsidRPr="00CB2118">
        <w:rPr>
          <w:rFonts w:ascii="Tw Cen MT" w:hAnsi="Tw Cen MT"/>
          <w:b/>
          <w:bCs/>
        </w:rPr>
        <w:t xml:space="preserve">business planning consultation </w:t>
      </w:r>
      <w:r w:rsidRPr="00CB2118">
        <w:rPr>
          <w:rFonts w:ascii="Tw Cen MT" w:hAnsi="Tw Cen MT"/>
        </w:rPr>
        <w:t xml:space="preserve">through federal and state SBA; work with SCORE federal small business administration  </w:t>
      </w:r>
      <w:r w:rsidRPr="00CB2118">
        <w:rPr>
          <w:rFonts w:ascii="Tw Cen MT" w:hAnsi="Tw Cen MT"/>
          <w:b/>
          <w:bCs/>
        </w:rPr>
        <w:t>B, C</w:t>
      </w:r>
    </w:p>
    <w:p w:rsidR="00CB2118" w:rsidRPr="00CB2118" w:rsidRDefault="00CB2118" w:rsidP="00832606">
      <w:pPr>
        <w:spacing w:line="240" w:lineRule="auto"/>
        <w:rPr>
          <w:rFonts w:ascii="Tw Cen MT" w:hAnsi="Tw Cen MT"/>
        </w:rPr>
      </w:pPr>
      <w:r w:rsidRPr="00CB2118">
        <w:rPr>
          <w:rFonts w:ascii="Tw Cen MT" w:hAnsi="Tw Cen MT"/>
        </w:rPr>
        <w:t xml:space="preserve">15.  Expand </w:t>
      </w:r>
      <w:r w:rsidRPr="00CB2118">
        <w:rPr>
          <w:rFonts w:ascii="Tw Cen MT" w:hAnsi="Tw Cen MT"/>
          <w:b/>
          <w:bCs/>
        </w:rPr>
        <w:t xml:space="preserve">shared services </w:t>
      </w:r>
      <w:r w:rsidRPr="00CB2118">
        <w:rPr>
          <w:rFonts w:ascii="Tw Cen MT" w:hAnsi="Tw Cen MT"/>
        </w:rPr>
        <w:t xml:space="preserve">project for Family Child Care Providers  </w:t>
      </w:r>
      <w:r w:rsidRPr="00CB2118">
        <w:rPr>
          <w:rFonts w:ascii="Tw Cen MT" w:hAnsi="Tw Cen MT"/>
          <w:b/>
          <w:bCs/>
        </w:rPr>
        <w:t>A, C</w:t>
      </w:r>
    </w:p>
    <w:p w:rsidR="00CB2118" w:rsidRPr="00CB2118" w:rsidRDefault="00CB2118" w:rsidP="00832606">
      <w:pPr>
        <w:spacing w:line="240" w:lineRule="auto"/>
        <w:rPr>
          <w:rFonts w:ascii="Tw Cen MT" w:hAnsi="Tw Cen MT"/>
        </w:rPr>
      </w:pPr>
      <w:r w:rsidRPr="00CB2118">
        <w:rPr>
          <w:rFonts w:ascii="Tw Cen MT" w:hAnsi="Tw Cen MT"/>
        </w:rPr>
        <w:t xml:space="preserve">16.  Offer training on sound </w:t>
      </w:r>
      <w:r w:rsidRPr="00CB2118">
        <w:rPr>
          <w:rFonts w:ascii="Tw Cen MT" w:hAnsi="Tw Cen MT"/>
          <w:b/>
          <w:bCs/>
        </w:rPr>
        <w:t>business practices</w:t>
      </w:r>
      <w:r w:rsidRPr="00CB2118">
        <w:rPr>
          <w:rFonts w:ascii="Tw Cen MT" w:hAnsi="Tw Cen MT"/>
        </w:rPr>
        <w:t xml:space="preserve"> for FCC  </w:t>
      </w:r>
      <w:r w:rsidRPr="00CB2118">
        <w:rPr>
          <w:rFonts w:ascii="Tw Cen MT" w:hAnsi="Tw Cen MT"/>
          <w:b/>
          <w:bCs/>
        </w:rPr>
        <w:t>B, C</w:t>
      </w:r>
    </w:p>
    <w:p w:rsidR="00AE0712" w:rsidRPr="00CB2118" w:rsidRDefault="00974762" w:rsidP="00832606">
      <w:pPr>
        <w:numPr>
          <w:ilvl w:val="0"/>
          <w:numId w:val="2"/>
        </w:numPr>
        <w:tabs>
          <w:tab w:val="clear" w:pos="720"/>
          <w:tab w:val="num" w:pos="360"/>
        </w:tabs>
        <w:spacing w:line="240" w:lineRule="auto"/>
        <w:ind w:left="360"/>
        <w:rPr>
          <w:rFonts w:ascii="Tw Cen MT" w:hAnsi="Tw Cen MT"/>
        </w:rPr>
      </w:pPr>
      <w:r w:rsidRPr="00CB2118">
        <w:rPr>
          <w:rFonts w:ascii="Tw Cen MT" w:hAnsi="Tw Cen MT"/>
          <w:b/>
          <w:bCs/>
        </w:rPr>
        <w:t>Toolkits</w:t>
      </w:r>
      <w:r w:rsidRPr="00CB2118">
        <w:rPr>
          <w:rFonts w:ascii="Tw Cen MT" w:hAnsi="Tw Cen MT"/>
        </w:rPr>
        <w:t xml:space="preserve"> for localities and providers  </w:t>
      </w:r>
      <w:r w:rsidRPr="00CB2118">
        <w:rPr>
          <w:rFonts w:ascii="Tw Cen MT" w:hAnsi="Tw Cen MT"/>
          <w:b/>
          <w:bCs/>
        </w:rPr>
        <w:t>A,</w:t>
      </w:r>
      <w:r w:rsidRPr="00CB2118">
        <w:rPr>
          <w:rFonts w:ascii="Tw Cen MT" w:hAnsi="Tw Cen MT"/>
        </w:rPr>
        <w:t xml:space="preserve"> </w:t>
      </w:r>
      <w:r w:rsidRPr="00CB2118">
        <w:rPr>
          <w:rFonts w:ascii="Tw Cen MT" w:hAnsi="Tw Cen MT"/>
          <w:b/>
          <w:bCs/>
        </w:rPr>
        <w:t>B, C</w:t>
      </w:r>
    </w:p>
    <w:p w:rsidR="00832606" w:rsidRPr="00832606" w:rsidRDefault="00974762" w:rsidP="00832606">
      <w:pPr>
        <w:numPr>
          <w:ilvl w:val="0"/>
          <w:numId w:val="2"/>
        </w:numPr>
        <w:tabs>
          <w:tab w:val="clear" w:pos="720"/>
          <w:tab w:val="num" w:pos="360"/>
        </w:tabs>
        <w:spacing w:line="240" w:lineRule="auto"/>
        <w:ind w:left="360"/>
        <w:rPr>
          <w:rFonts w:ascii="Tw Cen MT" w:hAnsi="Tw Cen MT"/>
        </w:rPr>
      </w:pPr>
      <w:r w:rsidRPr="00CB2118">
        <w:rPr>
          <w:rFonts w:ascii="Tw Cen MT" w:hAnsi="Tw Cen MT"/>
        </w:rPr>
        <w:t xml:space="preserve">Others? </w:t>
      </w:r>
    </w:p>
    <w:sectPr w:rsidR="00832606" w:rsidRPr="00832606" w:rsidSect="00832606">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01" w:rsidRDefault="007D0F01" w:rsidP="00CB2118">
      <w:pPr>
        <w:spacing w:after="0" w:line="240" w:lineRule="auto"/>
      </w:pPr>
      <w:r>
        <w:separator/>
      </w:r>
    </w:p>
  </w:endnote>
  <w:endnote w:type="continuationSeparator" w:id="0">
    <w:p w:rsidR="007D0F01" w:rsidRDefault="007D0F01" w:rsidP="00CB2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FF" w:rsidRDefault="00DC0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F5D" w:rsidRDefault="00DC07FF">
    <w:pPr>
      <w:pStyle w:val="Footer"/>
    </w:pPr>
    <w:r>
      <w:t>Potential State &amp; Local Solutions to Build CC Supply</w:t>
    </w:r>
    <w:r w:rsidR="00495F5D">
      <w:tab/>
    </w:r>
    <w:r>
      <w:t xml:space="preserve">                                                                                </w:t>
    </w:r>
    <w:bookmarkStart w:id="0" w:name="_GoBack"/>
    <w:bookmarkEnd w:id="0"/>
    <w:r w:rsidR="00495F5D">
      <w:t>May 9,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FF" w:rsidRDefault="00DC0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01" w:rsidRDefault="007D0F01" w:rsidP="00CB2118">
      <w:pPr>
        <w:spacing w:after="0" w:line="240" w:lineRule="auto"/>
      </w:pPr>
      <w:r>
        <w:separator/>
      </w:r>
    </w:p>
  </w:footnote>
  <w:footnote w:type="continuationSeparator" w:id="0">
    <w:p w:rsidR="007D0F01" w:rsidRDefault="007D0F01" w:rsidP="00CB2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FF" w:rsidRDefault="00DC0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FF" w:rsidRDefault="00CB2118" w:rsidP="00CB2118">
    <w:pPr>
      <w:pStyle w:val="Header"/>
      <w:rPr>
        <w:rFonts w:ascii="Tw Cen MT" w:hAnsi="Tw Cen MT"/>
        <w:color w:val="002060"/>
        <w:sz w:val="40"/>
      </w:rPr>
    </w:pPr>
    <w:r w:rsidRPr="00832606">
      <w:rPr>
        <w:rFonts w:ascii="Tw Cen MT" w:hAnsi="Tw Cen MT"/>
        <w:noProof/>
        <w:color w:val="002060"/>
        <w:sz w:val="40"/>
      </w:rPr>
      <mc:AlternateContent>
        <mc:Choice Requires="wps">
          <w:drawing>
            <wp:anchor distT="0" distB="0" distL="114300" distR="114300" simplePos="0" relativeHeight="251659264" behindDoc="0" locked="0" layoutInCell="1" allowOverlap="1">
              <wp:simplePos x="0" y="0"/>
              <wp:positionH relativeFrom="column">
                <wp:posOffset>3619500</wp:posOffset>
              </wp:positionH>
              <wp:positionV relativeFrom="paragraph">
                <wp:posOffset>-209550</wp:posOffset>
              </wp:positionV>
              <wp:extent cx="3450566" cy="752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450566" cy="752475"/>
                      </a:xfrm>
                      <a:prstGeom prst="rect">
                        <a:avLst/>
                      </a:prstGeom>
                      <a:solidFill>
                        <a:schemeClr val="lt1"/>
                      </a:solidFill>
                      <a:ln w="6350">
                        <a:noFill/>
                      </a:ln>
                    </wps:spPr>
                    <wps:txbx>
                      <w:txbxContent>
                        <w:p w:rsidR="00CB2118" w:rsidRPr="00CB2118" w:rsidRDefault="00CB2118" w:rsidP="00832606">
                          <w:pPr>
                            <w:spacing w:after="0" w:line="240" w:lineRule="auto"/>
                            <w:rPr>
                              <w:rFonts w:ascii="Tw Cen MT" w:hAnsi="Tw Cen MT"/>
                            </w:rPr>
                          </w:pPr>
                          <w:r w:rsidRPr="00CB2118">
                            <w:rPr>
                              <w:rFonts w:ascii="Tw Cen MT" w:hAnsi="Tw Cen MT"/>
                            </w:rPr>
                            <w:t>Name:</w:t>
                          </w:r>
                        </w:p>
                        <w:p w:rsidR="00CB2118" w:rsidRDefault="00CB2118" w:rsidP="00832606">
                          <w:pPr>
                            <w:spacing w:after="0" w:line="240" w:lineRule="auto"/>
                            <w:rPr>
                              <w:rFonts w:ascii="Tw Cen MT" w:hAnsi="Tw Cen MT"/>
                            </w:rPr>
                          </w:pPr>
                          <w:r w:rsidRPr="00CB2118">
                            <w:rPr>
                              <w:rFonts w:ascii="Tw Cen MT" w:hAnsi="Tw Cen MT"/>
                            </w:rPr>
                            <w:t xml:space="preserve">Locality: </w:t>
                          </w:r>
                        </w:p>
                        <w:p w:rsidR="00832606" w:rsidRDefault="00832606" w:rsidP="00832606">
                          <w:pPr>
                            <w:spacing w:after="0" w:line="240" w:lineRule="auto"/>
                            <w:rPr>
                              <w:rFonts w:ascii="Tw Cen MT" w:hAnsi="Tw Cen MT"/>
                            </w:rPr>
                          </w:pPr>
                        </w:p>
                        <w:p w:rsidR="00832606" w:rsidRPr="00CB2118" w:rsidRDefault="00832606" w:rsidP="00832606">
                          <w:pPr>
                            <w:spacing w:after="0" w:line="240" w:lineRule="auto"/>
                            <w:rPr>
                              <w:rFonts w:ascii="Tw Cen MT" w:hAnsi="Tw Cen MT"/>
                            </w:rPr>
                          </w:pPr>
                          <w:r>
                            <w:rPr>
                              <w:rFonts w:ascii="Tw Cen MT" w:hAnsi="Tw Cen MT"/>
                            </w:rPr>
                            <w:t xml:space="preserve">Send completed form to </w:t>
                          </w:r>
                          <w:hyperlink r:id="rId1" w:history="1">
                            <w:r w:rsidRPr="006A4427">
                              <w:rPr>
                                <w:rStyle w:val="Hyperlink"/>
                                <w:rFonts w:ascii="Tw Cen MT" w:hAnsi="Tw Cen MT"/>
                              </w:rPr>
                              <w:t>vanessa.dileo@dss.virginia.gov</w:t>
                            </w:r>
                          </w:hyperlink>
                          <w:r>
                            <w:rPr>
                              <w:rFonts w:ascii="Tw Cen MT" w:hAnsi="Tw Cen M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pt;margin-top:-16.5pt;width:271.7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" fillcolor="white [3201]" stroked="f" strokeweight=".5pt">
              <v:textbox>
                <w:txbxContent>
                  <w:p w:rsidR="00CB2118" w:rsidRPr="00CB2118" w:rsidRDefault="00CB2118" w:rsidP="00832606">
                    <w:pPr>
                      <w:spacing w:after="0" w:line="240" w:lineRule="auto"/>
                      <w:rPr>
                        <w:rFonts w:ascii="Tw Cen MT" w:hAnsi="Tw Cen MT"/>
                      </w:rPr>
                    </w:pPr>
                    <w:r w:rsidRPr="00CB2118">
                      <w:rPr>
                        <w:rFonts w:ascii="Tw Cen MT" w:hAnsi="Tw Cen MT"/>
                      </w:rPr>
                      <w:t>Name:</w:t>
                    </w:r>
                  </w:p>
                  <w:p w:rsidR="00CB2118" w:rsidRDefault="00CB2118" w:rsidP="00832606">
                    <w:pPr>
                      <w:spacing w:after="0" w:line="240" w:lineRule="auto"/>
                      <w:rPr>
                        <w:rFonts w:ascii="Tw Cen MT" w:hAnsi="Tw Cen MT"/>
                      </w:rPr>
                    </w:pPr>
                    <w:r w:rsidRPr="00CB2118">
                      <w:rPr>
                        <w:rFonts w:ascii="Tw Cen MT" w:hAnsi="Tw Cen MT"/>
                      </w:rPr>
                      <w:t xml:space="preserve">Locality: </w:t>
                    </w:r>
                  </w:p>
                  <w:p w:rsidR="00832606" w:rsidRDefault="00832606" w:rsidP="00832606">
                    <w:pPr>
                      <w:spacing w:after="0" w:line="240" w:lineRule="auto"/>
                      <w:rPr>
                        <w:rFonts w:ascii="Tw Cen MT" w:hAnsi="Tw Cen MT"/>
                      </w:rPr>
                    </w:pPr>
                  </w:p>
                  <w:p w:rsidR="00832606" w:rsidRPr="00CB2118" w:rsidRDefault="00832606" w:rsidP="00832606">
                    <w:pPr>
                      <w:spacing w:after="0" w:line="240" w:lineRule="auto"/>
                      <w:rPr>
                        <w:rFonts w:ascii="Tw Cen MT" w:hAnsi="Tw Cen MT"/>
                      </w:rPr>
                    </w:pPr>
                    <w:r>
                      <w:rPr>
                        <w:rFonts w:ascii="Tw Cen MT" w:hAnsi="Tw Cen MT"/>
                      </w:rPr>
                      <w:t xml:space="preserve">Send completed form to </w:t>
                    </w:r>
                    <w:hyperlink r:id="rId2" w:history="1">
                      <w:r w:rsidRPr="006A4427">
                        <w:rPr>
                          <w:rStyle w:val="Hyperlink"/>
                          <w:rFonts w:ascii="Tw Cen MT" w:hAnsi="Tw Cen MT"/>
                        </w:rPr>
                        <w:t>vanessa.dileo@dss.virginia.gov</w:t>
                      </w:r>
                    </w:hyperlink>
                    <w:r>
                      <w:rPr>
                        <w:rFonts w:ascii="Tw Cen MT" w:hAnsi="Tw Cen MT"/>
                      </w:rPr>
                      <w:t xml:space="preserve">. </w:t>
                    </w:r>
                  </w:p>
                </w:txbxContent>
              </v:textbox>
            </v:shape>
          </w:pict>
        </mc:Fallback>
      </mc:AlternateContent>
    </w:r>
    <w:r w:rsidR="00DC07FF">
      <w:rPr>
        <w:rFonts w:ascii="Tw Cen MT" w:hAnsi="Tw Cen MT"/>
        <w:color w:val="002060"/>
        <w:sz w:val="40"/>
      </w:rPr>
      <w:t>Potential State &amp; Local Solutions</w:t>
    </w:r>
    <w:r w:rsidRPr="00832606">
      <w:rPr>
        <w:rFonts w:ascii="Tw Cen MT" w:hAnsi="Tw Cen MT"/>
        <w:color w:val="002060"/>
        <w:sz w:val="40"/>
      </w:rPr>
      <w:t xml:space="preserve"> </w:t>
    </w:r>
  </w:p>
  <w:p w:rsidR="00CB2118" w:rsidRDefault="00CB2118" w:rsidP="00CB2118">
    <w:pPr>
      <w:pStyle w:val="Header"/>
      <w:rPr>
        <w:rFonts w:ascii="Tw Cen MT" w:hAnsi="Tw Cen MT"/>
        <w:color w:val="002060"/>
        <w:sz w:val="40"/>
      </w:rPr>
    </w:pPr>
    <w:proofErr w:type="gramStart"/>
    <w:r w:rsidRPr="00832606">
      <w:rPr>
        <w:rFonts w:ascii="Tw Cen MT" w:hAnsi="Tw Cen MT"/>
        <w:color w:val="002060"/>
        <w:sz w:val="40"/>
      </w:rPr>
      <w:t>to</w:t>
    </w:r>
    <w:proofErr w:type="gramEnd"/>
    <w:r w:rsidRPr="00832606">
      <w:rPr>
        <w:rFonts w:ascii="Tw Cen MT" w:hAnsi="Tw Cen MT"/>
        <w:color w:val="002060"/>
        <w:sz w:val="40"/>
      </w:rPr>
      <w:t xml:space="preserve"> Build Child Care Supply</w:t>
    </w:r>
  </w:p>
  <w:p w:rsidR="00832606" w:rsidRPr="00832606" w:rsidRDefault="00832606" w:rsidP="00CB2118">
    <w:pPr>
      <w:pStyle w:val="Header"/>
      <w:rPr>
        <w:rFonts w:ascii="Tw Cen MT" w:hAnsi="Tw Cen MT"/>
        <w:color w:val="00206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FF" w:rsidRDefault="00DC0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12C9"/>
    <w:multiLevelType w:val="hybridMultilevel"/>
    <w:tmpl w:val="5138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040D2"/>
    <w:multiLevelType w:val="hybridMultilevel"/>
    <w:tmpl w:val="D47C28E6"/>
    <w:lvl w:ilvl="0" w:tplc="759449CC">
      <w:start w:val="17"/>
      <w:numFmt w:val="decimal"/>
      <w:lvlText w:val="%1."/>
      <w:lvlJc w:val="left"/>
      <w:pPr>
        <w:tabs>
          <w:tab w:val="num" w:pos="720"/>
        </w:tabs>
        <w:ind w:left="720" w:hanging="360"/>
      </w:pPr>
    </w:lvl>
    <w:lvl w:ilvl="1" w:tplc="86A4DC5A" w:tentative="1">
      <w:start w:val="1"/>
      <w:numFmt w:val="decimal"/>
      <w:lvlText w:val="%2."/>
      <w:lvlJc w:val="left"/>
      <w:pPr>
        <w:tabs>
          <w:tab w:val="num" w:pos="1440"/>
        </w:tabs>
        <w:ind w:left="1440" w:hanging="360"/>
      </w:pPr>
    </w:lvl>
    <w:lvl w:ilvl="2" w:tplc="29642658" w:tentative="1">
      <w:start w:val="1"/>
      <w:numFmt w:val="decimal"/>
      <w:lvlText w:val="%3."/>
      <w:lvlJc w:val="left"/>
      <w:pPr>
        <w:tabs>
          <w:tab w:val="num" w:pos="2160"/>
        </w:tabs>
        <w:ind w:left="2160" w:hanging="360"/>
      </w:pPr>
    </w:lvl>
    <w:lvl w:ilvl="3" w:tplc="8A0A37EC" w:tentative="1">
      <w:start w:val="1"/>
      <w:numFmt w:val="decimal"/>
      <w:lvlText w:val="%4."/>
      <w:lvlJc w:val="left"/>
      <w:pPr>
        <w:tabs>
          <w:tab w:val="num" w:pos="2880"/>
        </w:tabs>
        <w:ind w:left="2880" w:hanging="360"/>
      </w:pPr>
    </w:lvl>
    <w:lvl w:ilvl="4" w:tplc="C630AEC8" w:tentative="1">
      <w:start w:val="1"/>
      <w:numFmt w:val="decimal"/>
      <w:lvlText w:val="%5."/>
      <w:lvlJc w:val="left"/>
      <w:pPr>
        <w:tabs>
          <w:tab w:val="num" w:pos="3600"/>
        </w:tabs>
        <w:ind w:left="3600" w:hanging="360"/>
      </w:pPr>
    </w:lvl>
    <w:lvl w:ilvl="5" w:tplc="A2646718" w:tentative="1">
      <w:start w:val="1"/>
      <w:numFmt w:val="decimal"/>
      <w:lvlText w:val="%6."/>
      <w:lvlJc w:val="left"/>
      <w:pPr>
        <w:tabs>
          <w:tab w:val="num" w:pos="4320"/>
        </w:tabs>
        <w:ind w:left="4320" w:hanging="360"/>
      </w:pPr>
    </w:lvl>
    <w:lvl w:ilvl="6" w:tplc="78D28174" w:tentative="1">
      <w:start w:val="1"/>
      <w:numFmt w:val="decimal"/>
      <w:lvlText w:val="%7."/>
      <w:lvlJc w:val="left"/>
      <w:pPr>
        <w:tabs>
          <w:tab w:val="num" w:pos="5040"/>
        </w:tabs>
        <w:ind w:left="5040" w:hanging="360"/>
      </w:pPr>
    </w:lvl>
    <w:lvl w:ilvl="7" w:tplc="D3D2C570" w:tentative="1">
      <w:start w:val="1"/>
      <w:numFmt w:val="decimal"/>
      <w:lvlText w:val="%8."/>
      <w:lvlJc w:val="left"/>
      <w:pPr>
        <w:tabs>
          <w:tab w:val="num" w:pos="5760"/>
        </w:tabs>
        <w:ind w:left="5760" w:hanging="360"/>
      </w:pPr>
    </w:lvl>
    <w:lvl w:ilvl="8" w:tplc="F4E46D8A" w:tentative="1">
      <w:start w:val="1"/>
      <w:numFmt w:val="decimal"/>
      <w:lvlText w:val="%9."/>
      <w:lvlJc w:val="left"/>
      <w:pPr>
        <w:tabs>
          <w:tab w:val="num" w:pos="6480"/>
        </w:tabs>
        <w:ind w:left="6480" w:hanging="360"/>
      </w:pPr>
    </w:lvl>
  </w:abstractNum>
  <w:abstractNum w:abstractNumId="2" w15:restartNumberingAfterBreak="0">
    <w:nsid w:val="55197889"/>
    <w:multiLevelType w:val="hybridMultilevel"/>
    <w:tmpl w:val="CF24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6A6346"/>
    <w:multiLevelType w:val="hybridMultilevel"/>
    <w:tmpl w:val="A36E4F60"/>
    <w:lvl w:ilvl="0" w:tplc="826AB2C6">
      <w:start w:val="1"/>
      <w:numFmt w:val="decimal"/>
      <w:lvlText w:val="%1."/>
      <w:lvlJc w:val="left"/>
      <w:pPr>
        <w:tabs>
          <w:tab w:val="num" w:pos="720"/>
        </w:tabs>
        <w:ind w:left="720" w:hanging="360"/>
      </w:pPr>
    </w:lvl>
    <w:lvl w:ilvl="1" w:tplc="CC683F36" w:tentative="1">
      <w:start w:val="1"/>
      <w:numFmt w:val="decimal"/>
      <w:lvlText w:val="%2."/>
      <w:lvlJc w:val="left"/>
      <w:pPr>
        <w:tabs>
          <w:tab w:val="num" w:pos="1440"/>
        </w:tabs>
        <w:ind w:left="1440" w:hanging="360"/>
      </w:pPr>
    </w:lvl>
    <w:lvl w:ilvl="2" w:tplc="496AE13C" w:tentative="1">
      <w:start w:val="1"/>
      <w:numFmt w:val="decimal"/>
      <w:lvlText w:val="%3."/>
      <w:lvlJc w:val="left"/>
      <w:pPr>
        <w:tabs>
          <w:tab w:val="num" w:pos="2160"/>
        </w:tabs>
        <w:ind w:left="2160" w:hanging="360"/>
      </w:pPr>
    </w:lvl>
    <w:lvl w:ilvl="3" w:tplc="7E76F4D4" w:tentative="1">
      <w:start w:val="1"/>
      <w:numFmt w:val="decimal"/>
      <w:lvlText w:val="%4."/>
      <w:lvlJc w:val="left"/>
      <w:pPr>
        <w:tabs>
          <w:tab w:val="num" w:pos="2880"/>
        </w:tabs>
        <w:ind w:left="2880" w:hanging="360"/>
      </w:pPr>
    </w:lvl>
    <w:lvl w:ilvl="4" w:tplc="022CA100" w:tentative="1">
      <w:start w:val="1"/>
      <w:numFmt w:val="decimal"/>
      <w:lvlText w:val="%5."/>
      <w:lvlJc w:val="left"/>
      <w:pPr>
        <w:tabs>
          <w:tab w:val="num" w:pos="3600"/>
        </w:tabs>
        <w:ind w:left="3600" w:hanging="360"/>
      </w:pPr>
    </w:lvl>
    <w:lvl w:ilvl="5" w:tplc="158E2DF4" w:tentative="1">
      <w:start w:val="1"/>
      <w:numFmt w:val="decimal"/>
      <w:lvlText w:val="%6."/>
      <w:lvlJc w:val="left"/>
      <w:pPr>
        <w:tabs>
          <w:tab w:val="num" w:pos="4320"/>
        </w:tabs>
        <w:ind w:left="4320" w:hanging="360"/>
      </w:pPr>
    </w:lvl>
    <w:lvl w:ilvl="6" w:tplc="6854E21A" w:tentative="1">
      <w:start w:val="1"/>
      <w:numFmt w:val="decimal"/>
      <w:lvlText w:val="%7."/>
      <w:lvlJc w:val="left"/>
      <w:pPr>
        <w:tabs>
          <w:tab w:val="num" w:pos="5040"/>
        </w:tabs>
        <w:ind w:left="5040" w:hanging="360"/>
      </w:pPr>
    </w:lvl>
    <w:lvl w:ilvl="7" w:tplc="A0BCDB00" w:tentative="1">
      <w:start w:val="1"/>
      <w:numFmt w:val="decimal"/>
      <w:lvlText w:val="%8."/>
      <w:lvlJc w:val="left"/>
      <w:pPr>
        <w:tabs>
          <w:tab w:val="num" w:pos="5760"/>
        </w:tabs>
        <w:ind w:left="5760" w:hanging="360"/>
      </w:pPr>
    </w:lvl>
    <w:lvl w:ilvl="8" w:tplc="356E1F06"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18"/>
    <w:rsid w:val="00232DB9"/>
    <w:rsid w:val="00333894"/>
    <w:rsid w:val="00495F5D"/>
    <w:rsid w:val="004B0B2D"/>
    <w:rsid w:val="007D0F01"/>
    <w:rsid w:val="00832606"/>
    <w:rsid w:val="00974762"/>
    <w:rsid w:val="00A3730D"/>
    <w:rsid w:val="00A64909"/>
    <w:rsid w:val="00AE0712"/>
    <w:rsid w:val="00B0652D"/>
    <w:rsid w:val="00BC17F2"/>
    <w:rsid w:val="00CB2118"/>
    <w:rsid w:val="00D333B6"/>
    <w:rsid w:val="00D65CC2"/>
    <w:rsid w:val="00DC07FF"/>
    <w:rsid w:val="00E4050D"/>
    <w:rsid w:val="00F9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6858A"/>
  <w15:chartTrackingRefBased/>
  <w15:docId w15:val="{5E916BEA-1E0F-485D-89C2-B8B7689A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18"/>
  </w:style>
  <w:style w:type="paragraph" w:styleId="Footer">
    <w:name w:val="footer"/>
    <w:basedOn w:val="Normal"/>
    <w:link w:val="FooterChar"/>
    <w:uiPriority w:val="99"/>
    <w:unhideWhenUsed/>
    <w:rsid w:val="00CB2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18"/>
  </w:style>
  <w:style w:type="paragraph" w:styleId="ListParagraph">
    <w:name w:val="List Paragraph"/>
    <w:basedOn w:val="Normal"/>
    <w:uiPriority w:val="34"/>
    <w:qFormat/>
    <w:rsid w:val="00CB2118"/>
    <w:pPr>
      <w:ind w:left="720"/>
      <w:contextualSpacing/>
    </w:pPr>
  </w:style>
  <w:style w:type="character" w:styleId="Hyperlink">
    <w:name w:val="Hyperlink"/>
    <w:basedOn w:val="DefaultParagraphFont"/>
    <w:uiPriority w:val="99"/>
    <w:unhideWhenUsed/>
    <w:rsid w:val="00832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10499">
      <w:bodyDiv w:val="1"/>
      <w:marLeft w:val="0"/>
      <w:marRight w:val="0"/>
      <w:marTop w:val="0"/>
      <w:marBottom w:val="0"/>
      <w:divBdr>
        <w:top w:val="none" w:sz="0" w:space="0" w:color="auto"/>
        <w:left w:val="none" w:sz="0" w:space="0" w:color="auto"/>
        <w:bottom w:val="none" w:sz="0" w:space="0" w:color="auto"/>
        <w:right w:val="none" w:sz="0" w:space="0" w:color="auto"/>
      </w:divBdr>
      <w:divsChild>
        <w:div w:id="790317515">
          <w:marLeft w:val="720"/>
          <w:marRight w:val="0"/>
          <w:marTop w:val="0"/>
          <w:marBottom w:val="0"/>
          <w:divBdr>
            <w:top w:val="none" w:sz="0" w:space="0" w:color="auto"/>
            <w:left w:val="none" w:sz="0" w:space="0" w:color="auto"/>
            <w:bottom w:val="none" w:sz="0" w:space="0" w:color="auto"/>
            <w:right w:val="none" w:sz="0" w:space="0" w:color="auto"/>
          </w:divBdr>
        </w:div>
        <w:div w:id="1744831202">
          <w:marLeft w:val="720"/>
          <w:marRight w:val="0"/>
          <w:marTop w:val="0"/>
          <w:marBottom w:val="0"/>
          <w:divBdr>
            <w:top w:val="none" w:sz="0" w:space="0" w:color="auto"/>
            <w:left w:val="none" w:sz="0" w:space="0" w:color="auto"/>
            <w:bottom w:val="none" w:sz="0" w:space="0" w:color="auto"/>
            <w:right w:val="none" w:sz="0" w:space="0" w:color="auto"/>
          </w:divBdr>
        </w:div>
      </w:divsChild>
    </w:div>
    <w:div w:id="1289049058">
      <w:bodyDiv w:val="1"/>
      <w:marLeft w:val="0"/>
      <w:marRight w:val="0"/>
      <w:marTop w:val="0"/>
      <w:marBottom w:val="0"/>
      <w:divBdr>
        <w:top w:val="none" w:sz="0" w:space="0" w:color="auto"/>
        <w:left w:val="none" w:sz="0" w:space="0" w:color="auto"/>
        <w:bottom w:val="none" w:sz="0" w:space="0" w:color="auto"/>
        <w:right w:val="none" w:sz="0" w:space="0" w:color="auto"/>
      </w:divBdr>
      <w:divsChild>
        <w:div w:id="1386490767">
          <w:marLeft w:val="547"/>
          <w:marRight w:val="0"/>
          <w:marTop w:val="0"/>
          <w:marBottom w:val="0"/>
          <w:divBdr>
            <w:top w:val="none" w:sz="0" w:space="0" w:color="auto"/>
            <w:left w:val="none" w:sz="0" w:space="0" w:color="auto"/>
            <w:bottom w:val="none" w:sz="0" w:space="0" w:color="auto"/>
            <w:right w:val="none" w:sz="0" w:space="0" w:color="auto"/>
          </w:divBdr>
        </w:div>
        <w:div w:id="1640188313">
          <w:marLeft w:val="547"/>
          <w:marRight w:val="0"/>
          <w:marTop w:val="0"/>
          <w:marBottom w:val="0"/>
          <w:divBdr>
            <w:top w:val="none" w:sz="0" w:space="0" w:color="auto"/>
            <w:left w:val="none" w:sz="0" w:space="0" w:color="auto"/>
            <w:bottom w:val="none" w:sz="0" w:space="0" w:color="auto"/>
            <w:right w:val="none" w:sz="0" w:space="0" w:color="auto"/>
          </w:divBdr>
        </w:div>
        <w:div w:id="1677919943">
          <w:marLeft w:val="547"/>
          <w:marRight w:val="0"/>
          <w:marTop w:val="0"/>
          <w:marBottom w:val="0"/>
          <w:divBdr>
            <w:top w:val="none" w:sz="0" w:space="0" w:color="auto"/>
            <w:left w:val="none" w:sz="0" w:space="0" w:color="auto"/>
            <w:bottom w:val="none" w:sz="0" w:space="0" w:color="auto"/>
            <w:right w:val="none" w:sz="0" w:space="0" w:color="auto"/>
          </w:divBdr>
        </w:div>
        <w:div w:id="435053419">
          <w:marLeft w:val="547"/>
          <w:marRight w:val="0"/>
          <w:marTop w:val="0"/>
          <w:marBottom w:val="0"/>
          <w:divBdr>
            <w:top w:val="none" w:sz="0" w:space="0" w:color="auto"/>
            <w:left w:val="none" w:sz="0" w:space="0" w:color="auto"/>
            <w:bottom w:val="none" w:sz="0" w:space="0" w:color="auto"/>
            <w:right w:val="none" w:sz="0" w:space="0" w:color="auto"/>
          </w:divBdr>
        </w:div>
        <w:div w:id="761491709">
          <w:marLeft w:val="547"/>
          <w:marRight w:val="0"/>
          <w:marTop w:val="0"/>
          <w:marBottom w:val="0"/>
          <w:divBdr>
            <w:top w:val="none" w:sz="0" w:space="0" w:color="auto"/>
            <w:left w:val="none" w:sz="0" w:space="0" w:color="auto"/>
            <w:bottom w:val="none" w:sz="0" w:space="0" w:color="auto"/>
            <w:right w:val="none" w:sz="0" w:space="0" w:color="auto"/>
          </w:divBdr>
        </w:div>
        <w:div w:id="352709">
          <w:marLeft w:val="547"/>
          <w:marRight w:val="0"/>
          <w:marTop w:val="0"/>
          <w:marBottom w:val="0"/>
          <w:divBdr>
            <w:top w:val="none" w:sz="0" w:space="0" w:color="auto"/>
            <w:left w:val="none" w:sz="0" w:space="0" w:color="auto"/>
            <w:bottom w:val="none" w:sz="0" w:space="0" w:color="auto"/>
            <w:right w:val="none" w:sz="0" w:space="0" w:color="auto"/>
          </w:divBdr>
        </w:div>
        <w:div w:id="325061726">
          <w:marLeft w:val="547"/>
          <w:marRight w:val="0"/>
          <w:marTop w:val="0"/>
          <w:marBottom w:val="0"/>
          <w:divBdr>
            <w:top w:val="none" w:sz="0" w:space="0" w:color="auto"/>
            <w:left w:val="none" w:sz="0" w:space="0" w:color="auto"/>
            <w:bottom w:val="none" w:sz="0" w:space="0" w:color="auto"/>
            <w:right w:val="none" w:sz="0" w:space="0" w:color="auto"/>
          </w:divBdr>
        </w:div>
        <w:div w:id="441414336">
          <w:marLeft w:val="547"/>
          <w:marRight w:val="0"/>
          <w:marTop w:val="0"/>
          <w:marBottom w:val="0"/>
          <w:divBdr>
            <w:top w:val="none" w:sz="0" w:space="0" w:color="auto"/>
            <w:left w:val="none" w:sz="0" w:space="0" w:color="auto"/>
            <w:bottom w:val="none" w:sz="0" w:space="0" w:color="auto"/>
            <w:right w:val="none" w:sz="0" w:space="0" w:color="auto"/>
          </w:divBdr>
        </w:div>
      </w:divsChild>
    </w:div>
    <w:div w:id="177386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vanessa.dileo@dss.virginia.gov" TargetMode="External"/><Relationship Id="rId1" Type="http://schemas.openxmlformats.org/officeDocument/2006/relationships/hyperlink" Target="mailto:vanessa.dileo@dss.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2020-09-04T17:06:00Z</dcterms:created>
  <dcterms:modified xsi:type="dcterms:W3CDTF">2020-09-04T17:06:00Z</dcterms:modified>
</cp:coreProperties>
</file>